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426"/>
        <w:gridCol w:w="2012"/>
        <w:gridCol w:w="6407"/>
      </w:tblGrid>
      <w:tr w:rsidR="00CE544A" w:rsidRPr="00975B07" w:rsidTr="005F7F7E">
        <w:tc>
          <w:tcPr>
            <w:tcW w:w="2438" w:type="dxa"/>
            <w:gridSpan w:val="2"/>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gridSpan w:val="2"/>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BF0DC2" w:rsidP="00BF0DC2">
            <w:pPr>
              <w:rPr>
                <w:b/>
              </w:rPr>
            </w:pPr>
            <w:r>
              <w:rPr>
                <w:b/>
              </w:rPr>
              <w:t xml:space="preserve">29 </w:t>
            </w:r>
            <w:r w:rsidR="00A60A7F">
              <w:rPr>
                <w:b/>
              </w:rPr>
              <w:t xml:space="preserve"> May</w:t>
            </w:r>
            <w:r w:rsidR="004A23F1">
              <w:rPr>
                <w:b/>
              </w:rPr>
              <w:t xml:space="preserve"> 2019</w:t>
            </w:r>
          </w:p>
        </w:tc>
      </w:tr>
      <w:tr w:rsidR="00CE544A" w:rsidRPr="00975B07" w:rsidTr="005F7F7E">
        <w:tc>
          <w:tcPr>
            <w:tcW w:w="2438" w:type="dxa"/>
            <w:gridSpan w:val="2"/>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0E79BB" w:rsidP="004A3174">
            <w:pPr>
              <w:rPr>
                <w:rStyle w:val="Firstpagetablebold"/>
              </w:rPr>
            </w:pPr>
            <w:r w:rsidRPr="000E79BB">
              <w:rPr>
                <w:rStyle w:val="Firstpagetablebold"/>
              </w:rPr>
              <w:t>Head of Planning</w:t>
            </w:r>
            <w:r w:rsidR="004A3174">
              <w:rPr>
                <w:rStyle w:val="Firstpagetablebold"/>
              </w:rPr>
              <w:t xml:space="preserve"> Services</w:t>
            </w:r>
          </w:p>
        </w:tc>
      </w:tr>
      <w:tr w:rsidR="00CE544A" w:rsidRPr="00975B07" w:rsidTr="005F7F7E">
        <w:tc>
          <w:tcPr>
            <w:tcW w:w="2438" w:type="dxa"/>
            <w:gridSpan w:val="2"/>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0E79BB" w:rsidP="00A60A7F">
            <w:pPr>
              <w:rPr>
                <w:rStyle w:val="Firstpagetablebold"/>
              </w:rPr>
            </w:pPr>
            <w:r>
              <w:rPr>
                <w:rStyle w:val="Firstpagetablebold"/>
              </w:rPr>
              <w:t xml:space="preserve">Community Infrastructure Levy </w:t>
            </w:r>
            <w:r w:rsidR="004A23F1">
              <w:rPr>
                <w:rStyle w:val="Firstpagetablebold"/>
              </w:rPr>
              <w:t xml:space="preserve">(CIL) </w:t>
            </w:r>
            <w:r w:rsidR="00625BE2">
              <w:rPr>
                <w:rStyle w:val="Firstpagetablebold"/>
              </w:rPr>
              <w:t xml:space="preserve">–  </w:t>
            </w:r>
            <w:r w:rsidR="00A60A7F">
              <w:rPr>
                <w:rStyle w:val="Firstpagetablebold"/>
              </w:rPr>
              <w:t>D</w:t>
            </w:r>
            <w:r w:rsidR="00625BE2">
              <w:rPr>
                <w:rStyle w:val="Firstpagetablebold"/>
              </w:rPr>
              <w:t>raft</w:t>
            </w:r>
            <w:r>
              <w:rPr>
                <w:rStyle w:val="Firstpagetablebold"/>
              </w:rPr>
              <w:t xml:space="preserve"> Charging Schedule </w:t>
            </w:r>
            <w:r w:rsidR="00625BE2">
              <w:rPr>
                <w:rStyle w:val="Firstpagetablebold"/>
              </w:rPr>
              <w:t xml:space="preserve">for </w:t>
            </w:r>
            <w:r w:rsidR="004A23F1">
              <w:rPr>
                <w:rStyle w:val="Firstpagetablebold"/>
              </w:rPr>
              <w:t>Submission</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693751" w:rsidP="00A60A7F">
            <w:r>
              <w:t xml:space="preserve">To </w:t>
            </w:r>
            <w:r w:rsidR="00A60A7F">
              <w:t xml:space="preserve">seek approval for </w:t>
            </w:r>
            <w:r w:rsidR="008E5075">
              <w:t xml:space="preserve">the </w:t>
            </w:r>
            <w:r w:rsidR="00A60A7F">
              <w:t xml:space="preserve">Draft </w:t>
            </w:r>
            <w:r w:rsidR="008E5075">
              <w:t>CIL Charging Schedule</w:t>
            </w:r>
            <w:r w:rsidR="00366EFD">
              <w:t xml:space="preserve"> </w:t>
            </w:r>
            <w:r w:rsidR="00366EFD" w:rsidRPr="007F1AD5">
              <w:rPr>
                <w:color w:val="auto"/>
              </w:rPr>
              <w:t xml:space="preserve">and revised CIL 123 </w:t>
            </w:r>
            <w:proofErr w:type="gramStart"/>
            <w:r w:rsidR="00366EFD" w:rsidRPr="007F1AD5">
              <w:rPr>
                <w:color w:val="auto"/>
              </w:rPr>
              <w:t xml:space="preserve">list </w:t>
            </w:r>
            <w:r w:rsidR="008E5075" w:rsidRPr="007F1AD5">
              <w:rPr>
                <w:color w:val="auto"/>
              </w:rPr>
              <w:t xml:space="preserve"> t</w:t>
            </w:r>
            <w:r w:rsidR="008E5075">
              <w:t>o</w:t>
            </w:r>
            <w:proofErr w:type="gramEnd"/>
            <w:r w:rsidR="008E5075">
              <w:t xml:space="preserve"> be submitted to the Secretary of State</w:t>
            </w:r>
            <w:r w:rsidR="00A60A7F">
              <w:t xml:space="preserve"> for examination, approve the statement of modification and approve the policy for Exceptional Circumstances.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5D6AC6" w:rsidP="00B06D2D">
            <w:r>
              <w:t>Yes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B06D2D" w:rsidP="004A3174">
            <w:r w:rsidRPr="00B06D2D">
              <w:t>Councillor Alex Hollingsworth, Board Member for Planning Services</w:t>
            </w:r>
          </w:p>
        </w:tc>
      </w:tr>
      <w:tr w:rsidR="0080749A"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B06D2D" w:rsidP="00E97F4D">
            <w:r w:rsidRPr="00B06D2D">
              <w:t>A Vibrant and Sustainable Economy; Meeting Housing Needs; Strong and Active Communities; A Clean and Green Oxford.</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F66046" w:rsidP="00E97F4D">
            <w:r>
              <w:t xml:space="preserve">The </w:t>
            </w:r>
            <w:r w:rsidR="00B06D2D">
              <w:t>CIL Charging Schedule</w:t>
            </w:r>
            <w:r>
              <w:t xml:space="preserve"> sets out a tariff in the form of a standard charge on new development to help the funding of infrastructure</w:t>
            </w:r>
            <w:r w:rsidR="00625BE2">
              <w:t xml:space="preserve"> in Oxford</w:t>
            </w:r>
            <w:r>
              <w:t>. It is to supplement or top up other sources of infrastructure funding.</w:t>
            </w:r>
          </w:p>
        </w:tc>
      </w:tr>
      <w:tr w:rsidR="005F7F7E"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8845" w:type="dxa"/>
            <w:gridSpan w:val="3"/>
            <w:tcBorders>
              <w:bottom w:val="single" w:sz="8" w:space="0" w:color="000000"/>
            </w:tcBorders>
          </w:tcPr>
          <w:p w:rsidR="005F7F7E" w:rsidRPr="00975B07" w:rsidRDefault="008755E8" w:rsidP="008755E8">
            <w:proofErr w:type="spellStart"/>
            <w:r>
              <w:rPr>
                <w:rStyle w:val="Firstpagetablebold"/>
              </w:rPr>
              <w:t>Recommendation</w:t>
            </w:r>
            <w:r w:rsidR="005F7F7E">
              <w:rPr>
                <w:rStyle w:val="Firstpagetablebold"/>
              </w:rPr>
              <w:t>s:</w:t>
            </w:r>
            <w:r w:rsidR="005F7F7E" w:rsidRPr="008755E8">
              <w:rPr>
                <w:rStyle w:val="Firstpagetablebold"/>
                <w:b w:val="0"/>
              </w:rPr>
              <w:t>That</w:t>
            </w:r>
            <w:proofErr w:type="spellEnd"/>
            <w:r w:rsidR="005F7F7E" w:rsidRPr="008755E8">
              <w:rPr>
                <w:rStyle w:val="Firstpagetablebold"/>
                <w:b w:val="0"/>
              </w:rPr>
              <w:t xml:space="preserve"> the City Executive Board resolves to:</w:t>
            </w:r>
          </w:p>
        </w:tc>
      </w:tr>
      <w:tr w:rsidR="001C2CC9"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single" w:sz="8" w:space="0" w:color="000000"/>
              <w:left w:val="single" w:sz="8" w:space="0" w:color="000000"/>
              <w:bottom w:val="nil"/>
              <w:right w:val="nil"/>
            </w:tcBorders>
          </w:tcPr>
          <w:p w:rsidR="001C2CC9" w:rsidRDefault="001C2CC9" w:rsidP="004A6D2F"/>
          <w:p w:rsidR="008D2A29" w:rsidRDefault="008D2A29" w:rsidP="004A6D2F">
            <w:r>
              <w:t>1.</w:t>
            </w:r>
          </w:p>
          <w:p w:rsidR="00EC46D0" w:rsidRPr="00975B07" w:rsidRDefault="00EC46D0" w:rsidP="004A6D2F"/>
        </w:tc>
        <w:tc>
          <w:tcPr>
            <w:tcW w:w="8419" w:type="dxa"/>
            <w:gridSpan w:val="2"/>
            <w:tcBorders>
              <w:top w:val="single" w:sz="8" w:space="0" w:color="000000"/>
              <w:left w:val="nil"/>
              <w:bottom w:val="nil"/>
              <w:right w:val="single" w:sz="8" w:space="0" w:color="000000"/>
            </w:tcBorders>
            <w:shd w:val="clear" w:color="auto" w:fill="auto"/>
          </w:tcPr>
          <w:p w:rsidR="00EC46D0" w:rsidRDefault="00EC46D0" w:rsidP="004A3174"/>
          <w:p w:rsidR="0036687C" w:rsidRPr="00235284" w:rsidRDefault="00FE7416" w:rsidP="005E0A6E">
            <w:r w:rsidRPr="008755E8">
              <w:rPr>
                <w:b/>
              </w:rPr>
              <w:t xml:space="preserve">Approve </w:t>
            </w:r>
            <w:r>
              <w:t xml:space="preserve">the Statement of Modification (Appendix </w:t>
            </w:r>
            <w:r w:rsidR="00D550D9">
              <w:t>5</w:t>
            </w:r>
            <w:r>
              <w:t>)</w:t>
            </w:r>
            <w:r w:rsidR="005E0A6E">
              <w:t xml:space="preserve"> the</w:t>
            </w:r>
            <w:r w:rsidR="00CC08E9">
              <w:t xml:space="preserve"> Community Infrastructure Levy</w:t>
            </w:r>
            <w:r w:rsidR="005E0A6E">
              <w:t xml:space="preserve"> </w:t>
            </w:r>
            <w:r w:rsidR="00CC08E9">
              <w:t>(</w:t>
            </w:r>
            <w:r w:rsidR="00A60A7F">
              <w:t>CIL</w:t>
            </w:r>
            <w:r w:rsidR="00CC08E9">
              <w:t>)</w:t>
            </w:r>
            <w:r w:rsidR="00A60A7F">
              <w:t xml:space="preserve"> Draft Charging Schedule</w:t>
            </w:r>
            <w:r w:rsidR="005E0A6E">
              <w:t xml:space="preserve"> </w:t>
            </w:r>
            <w:r w:rsidR="008B26FC">
              <w:t>(Appendix 4)</w:t>
            </w:r>
            <w:r w:rsidR="005E0A6E">
              <w:t xml:space="preserve"> </w:t>
            </w:r>
            <w:r w:rsidR="005E0A6E" w:rsidRPr="005E0A6E">
              <w:t xml:space="preserve">and </w:t>
            </w:r>
            <w:r w:rsidR="005E0A6E" w:rsidRPr="007F1AD5">
              <w:rPr>
                <w:color w:val="auto"/>
              </w:rPr>
              <w:t>the revised CIL Regulation 123 list (Appendix 7)</w:t>
            </w:r>
            <w:r w:rsidR="008B26FC" w:rsidRPr="007F1AD5">
              <w:rPr>
                <w:color w:val="auto"/>
              </w:rPr>
              <w:t xml:space="preserve"> </w:t>
            </w:r>
            <w:r w:rsidR="008B26FC">
              <w:t xml:space="preserve">and Authorise the Head of Planning (or any officer acting in that capacity), to make any typographical changes to the document deemed necessary and then to formally submit </w:t>
            </w:r>
            <w:r w:rsidR="00CF2B86">
              <w:t xml:space="preserve">to the Secretary of State </w:t>
            </w:r>
            <w:r w:rsidR="00A60A7F">
              <w:t>for examination;</w:t>
            </w:r>
          </w:p>
        </w:tc>
      </w:tr>
      <w:tr w:rsidR="001C2CC9" w:rsidRPr="00975B07" w:rsidTr="005A539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single" w:sz="4" w:space="0" w:color="auto"/>
              <w:right w:val="nil"/>
            </w:tcBorders>
          </w:tcPr>
          <w:p w:rsidR="00DB2A28" w:rsidRDefault="0036687C" w:rsidP="008D2A29">
            <w:r>
              <w:t>2</w:t>
            </w:r>
            <w:r w:rsidR="00DB2A28">
              <w:t>.</w:t>
            </w:r>
          </w:p>
          <w:p w:rsidR="008576AA" w:rsidRDefault="008576AA" w:rsidP="008D2A29"/>
          <w:p w:rsidR="008755E8" w:rsidRDefault="008755E8" w:rsidP="008D2A29"/>
          <w:p w:rsidR="00A60A7F" w:rsidRDefault="00A60A7F" w:rsidP="008D2A29">
            <w:r>
              <w:t>3.</w:t>
            </w:r>
          </w:p>
          <w:p w:rsidR="00A60A7F" w:rsidRPr="00975B07" w:rsidRDefault="00A60A7F" w:rsidP="008D2A29">
            <w:r>
              <w:t xml:space="preserve">  </w:t>
            </w:r>
          </w:p>
        </w:tc>
        <w:tc>
          <w:tcPr>
            <w:tcW w:w="8419" w:type="dxa"/>
            <w:gridSpan w:val="2"/>
            <w:tcBorders>
              <w:top w:val="nil"/>
              <w:left w:val="nil"/>
              <w:bottom w:val="single" w:sz="4" w:space="0" w:color="auto"/>
              <w:right w:val="single" w:sz="8" w:space="0" w:color="000000"/>
            </w:tcBorders>
            <w:shd w:val="clear" w:color="auto" w:fill="auto"/>
          </w:tcPr>
          <w:p w:rsidR="008576AA" w:rsidRDefault="00A60A7F" w:rsidP="008E5075">
            <w:r w:rsidRPr="008755E8">
              <w:rPr>
                <w:b/>
              </w:rPr>
              <w:t>Approve</w:t>
            </w:r>
            <w:r>
              <w:t xml:space="preserve"> the </w:t>
            </w:r>
            <w:r w:rsidR="00931365">
              <w:t xml:space="preserve">discretionary </w:t>
            </w:r>
            <w:r>
              <w:t>Exceptional Circumstances Relief Policy</w:t>
            </w:r>
            <w:r w:rsidR="00CF2B86">
              <w:t xml:space="preserve"> (as per Regulation 56 of the Community Infrastructure Levy Regulations 2010 (as amended)</w:t>
            </w:r>
            <w:r w:rsidR="00064350">
              <w:t xml:space="preserve"> (Appendix 6</w:t>
            </w:r>
            <w:r w:rsidR="00F21F53">
              <w:t>)</w:t>
            </w:r>
            <w:r>
              <w:t>;</w:t>
            </w:r>
            <w:r w:rsidR="00FA0C3F">
              <w:t xml:space="preserve"> </w:t>
            </w:r>
            <w:r w:rsidR="008755E8">
              <w:t>and</w:t>
            </w:r>
          </w:p>
          <w:p w:rsidR="00A60A7F" w:rsidRDefault="00931365" w:rsidP="00527522">
            <w:r w:rsidRPr="008755E8">
              <w:rPr>
                <w:b/>
              </w:rPr>
              <w:t xml:space="preserve">Authorise </w:t>
            </w:r>
            <w:r w:rsidRPr="008755E8">
              <w:t xml:space="preserve">that future decisions under the discretionary Exceptional Circumstances Relief Policy will be delegated to the Head of Planning after consultation with the </w:t>
            </w:r>
            <w:r w:rsidR="009018C3" w:rsidRPr="008755E8">
              <w:t>Planning and Transport portfolio holder</w:t>
            </w:r>
            <w:r w:rsidRPr="008755E8">
              <w:rPr>
                <w:b/>
              </w:rPr>
              <w:t>.</w:t>
            </w:r>
          </w:p>
        </w:tc>
      </w:tr>
    </w:tbl>
    <w:p w:rsidR="00CE544A" w:rsidRDefault="00CE544A" w:rsidP="004A6D2F"/>
    <w:p w:rsidR="00CF2B86" w:rsidRDefault="00CF2B86" w:rsidP="004A6D2F"/>
    <w:p w:rsidR="00CF2B86" w:rsidRPr="009E51FC" w:rsidRDefault="00CF2B8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376D15" w:rsidP="00376D15">
            <w:r>
              <w:t xml:space="preserve">Previous CEB Report – January 2018 </w:t>
            </w:r>
          </w:p>
        </w:tc>
      </w:tr>
      <w:tr w:rsidR="0030208D" w:rsidRPr="00975B07" w:rsidTr="00A46E98">
        <w:tc>
          <w:tcPr>
            <w:tcW w:w="2438" w:type="dxa"/>
            <w:tcBorders>
              <w:top w:val="nil"/>
              <w:left w:val="single" w:sz="8" w:space="0" w:color="000000"/>
              <w:bottom w:val="nil"/>
              <w:right w:val="nil"/>
            </w:tcBorders>
            <w:shd w:val="clear" w:color="auto" w:fill="auto"/>
          </w:tcPr>
          <w:p w:rsidR="0030208D" w:rsidRDefault="00F77245" w:rsidP="004A6D2F">
            <w:r>
              <w:t xml:space="preserve">Appendix </w:t>
            </w:r>
            <w:r w:rsidR="008C06EC">
              <w:t>2</w:t>
            </w:r>
          </w:p>
          <w:p w:rsidR="008D2A29" w:rsidRDefault="008D2A29" w:rsidP="008D2A29">
            <w:r>
              <w:t>Appendix 3</w:t>
            </w:r>
          </w:p>
          <w:p w:rsidR="00EC46D0" w:rsidRDefault="00EC46D0" w:rsidP="008D2A29">
            <w:r>
              <w:t>Appendix 4</w:t>
            </w:r>
          </w:p>
          <w:p w:rsidR="00F21F53" w:rsidRPr="00975B07" w:rsidRDefault="00DB71AE" w:rsidP="008D2A29">
            <w:r>
              <w:t>Appendix 5</w:t>
            </w:r>
          </w:p>
        </w:tc>
        <w:tc>
          <w:tcPr>
            <w:tcW w:w="6406" w:type="dxa"/>
            <w:tcBorders>
              <w:top w:val="nil"/>
              <w:left w:val="nil"/>
              <w:bottom w:val="nil"/>
              <w:right w:val="single" w:sz="8" w:space="0" w:color="000000"/>
            </w:tcBorders>
          </w:tcPr>
          <w:p w:rsidR="00913372" w:rsidRDefault="00376D15" w:rsidP="00913372">
            <w:r w:rsidRPr="004E10D5">
              <w:t xml:space="preserve">Summary of responses to consultation </w:t>
            </w:r>
            <w:r w:rsidR="004E10D5" w:rsidRPr="004E10D5" w:rsidDel="004E10D5">
              <w:t xml:space="preserve"> </w:t>
            </w:r>
          </w:p>
          <w:p w:rsidR="00EC46D0" w:rsidRPr="007F1AD5" w:rsidRDefault="00913372" w:rsidP="00A60A7F">
            <w:pPr>
              <w:rPr>
                <w:color w:val="auto"/>
              </w:rPr>
            </w:pPr>
            <w:r>
              <w:t xml:space="preserve">Further Viability </w:t>
            </w:r>
            <w:r w:rsidRPr="007F1AD5">
              <w:rPr>
                <w:color w:val="auto"/>
              </w:rPr>
              <w:t xml:space="preserve">Report </w:t>
            </w:r>
            <w:r w:rsidR="00307D93" w:rsidRPr="007F1AD5">
              <w:rPr>
                <w:color w:val="auto"/>
              </w:rPr>
              <w:t>(addendum to previous report</w:t>
            </w:r>
            <w:r w:rsidR="009018C3">
              <w:rPr>
                <w:color w:val="auto"/>
              </w:rPr>
              <w:t xml:space="preserve"> September 2018</w:t>
            </w:r>
            <w:r w:rsidR="007F1AD5" w:rsidRPr="007F1AD5">
              <w:rPr>
                <w:color w:val="auto"/>
              </w:rPr>
              <w:t xml:space="preserve"> </w:t>
            </w:r>
            <w:r w:rsidR="00307D93" w:rsidRPr="007F1AD5">
              <w:rPr>
                <w:color w:val="auto"/>
              </w:rPr>
              <w:t>)</w:t>
            </w:r>
          </w:p>
          <w:p w:rsidR="00C353AD" w:rsidRDefault="00376D15" w:rsidP="00A60A7F">
            <w:r>
              <w:t xml:space="preserve">Draft Charging Schedule </w:t>
            </w:r>
            <w:r w:rsidR="00064350">
              <w:t>– November 2018</w:t>
            </w:r>
          </w:p>
          <w:p w:rsidR="00DB71AE" w:rsidRPr="001356F1" w:rsidRDefault="00376D15" w:rsidP="00376D15">
            <w:r>
              <w:t>Statement of Modification</w:t>
            </w:r>
          </w:p>
        </w:tc>
      </w:tr>
      <w:tr w:rsidR="00376D15" w:rsidRPr="00975B07" w:rsidTr="00A46E98">
        <w:tc>
          <w:tcPr>
            <w:tcW w:w="2438" w:type="dxa"/>
            <w:tcBorders>
              <w:top w:val="nil"/>
              <w:left w:val="single" w:sz="8" w:space="0" w:color="000000"/>
              <w:bottom w:val="single" w:sz="8" w:space="0" w:color="000000"/>
              <w:right w:val="nil"/>
            </w:tcBorders>
            <w:shd w:val="clear" w:color="auto" w:fill="auto"/>
          </w:tcPr>
          <w:p w:rsidR="00376D15" w:rsidRPr="007F1AD5" w:rsidRDefault="00376D15" w:rsidP="00EC46D0">
            <w:pPr>
              <w:rPr>
                <w:color w:val="auto"/>
              </w:rPr>
            </w:pPr>
            <w:r w:rsidRPr="007F1AD5">
              <w:rPr>
                <w:color w:val="auto"/>
              </w:rPr>
              <w:t>Appendix 6</w:t>
            </w:r>
          </w:p>
          <w:p w:rsidR="005E0A6E" w:rsidRPr="007F1AD5" w:rsidRDefault="005E0A6E" w:rsidP="00EC46D0">
            <w:pPr>
              <w:rPr>
                <w:color w:val="auto"/>
              </w:rPr>
            </w:pPr>
            <w:r w:rsidRPr="007F1AD5">
              <w:rPr>
                <w:color w:val="auto"/>
              </w:rPr>
              <w:t>Appendix 7</w:t>
            </w:r>
          </w:p>
        </w:tc>
        <w:tc>
          <w:tcPr>
            <w:tcW w:w="6406" w:type="dxa"/>
            <w:tcBorders>
              <w:top w:val="nil"/>
              <w:left w:val="nil"/>
              <w:bottom w:val="single" w:sz="8" w:space="0" w:color="000000"/>
              <w:right w:val="single" w:sz="8" w:space="0" w:color="000000"/>
            </w:tcBorders>
          </w:tcPr>
          <w:p w:rsidR="00376D15" w:rsidRPr="007F1AD5" w:rsidRDefault="00376D15" w:rsidP="007F1EE5">
            <w:pPr>
              <w:rPr>
                <w:color w:val="auto"/>
              </w:rPr>
            </w:pPr>
            <w:r w:rsidRPr="007F1AD5">
              <w:rPr>
                <w:color w:val="auto"/>
              </w:rPr>
              <w:t>Proposed Exceptional Circumstances Relief Policy</w:t>
            </w:r>
          </w:p>
          <w:p w:rsidR="005E0A6E" w:rsidRPr="007F1AD5" w:rsidRDefault="005E0A6E" w:rsidP="007F1EE5">
            <w:pPr>
              <w:rPr>
                <w:color w:val="auto"/>
              </w:rPr>
            </w:pPr>
            <w:r w:rsidRPr="007F1AD5">
              <w:rPr>
                <w:color w:val="auto"/>
              </w:rPr>
              <w:t>Revised Regulation 123 list</w:t>
            </w:r>
          </w:p>
        </w:tc>
      </w:tr>
    </w:tbl>
    <w:p w:rsidR="0040736F" w:rsidRPr="001356F1" w:rsidRDefault="00F66DCA" w:rsidP="004A6D2F">
      <w:pPr>
        <w:pStyle w:val="Heading1"/>
      </w:pPr>
      <w:r w:rsidRPr="001356F1">
        <w:t xml:space="preserve">Introduction </w:t>
      </w:r>
      <w:r w:rsidR="00404032" w:rsidRPr="001356F1">
        <w:t xml:space="preserve"> </w:t>
      </w:r>
    </w:p>
    <w:p w:rsidR="00612F71" w:rsidRDefault="008D2A29" w:rsidP="00451B02">
      <w:pPr>
        <w:pStyle w:val="ListParagraph"/>
      </w:pPr>
      <w:r>
        <w:t>This report f</w:t>
      </w:r>
      <w:r w:rsidR="00042271">
        <w:t>ollow</w:t>
      </w:r>
      <w:r>
        <w:t>s</w:t>
      </w:r>
      <w:r w:rsidR="00042271">
        <w:t xml:space="preserve"> on from the previous report to </w:t>
      </w:r>
      <w:r w:rsidR="00CC08E9">
        <w:t>the City Executive Board (</w:t>
      </w:r>
      <w:r w:rsidR="00042271">
        <w:t>CEB</w:t>
      </w:r>
      <w:r w:rsidR="00CC08E9">
        <w:t>) on</w:t>
      </w:r>
      <w:r w:rsidR="00042271">
        <w:t xml:space="preserve"> 23</w:t>
      </w:r>
      <w:r w:rsidR="00042271" w:rsidRPr="00042271">
        <w:rPr>
          <w:vertAlign w:val="superscript"/>
        </w:rPr>
        <w:t>rd</w:t>
      </w:r>
      <w:r w:rsidR="00042271">
        <w:t xml:space="preserve"> January 2018</w:t>
      </w:r>
      <w:r w:rsidR="00036DBC">
        <w:rPr>
          <w:color w:val="FF0000"/>
        </w:rPr>
        <w:t xml:space="preserve"> </w:t>
      </w:r>
      <w:r w:rsidR="00036DBC" w:rsidRPr="00C6184F">
        <w:rPr>
          <w:color w:val="auto"/>
        </w:rPr>
        <w:t>(</w:t>
      </w:r>
      <w:r w:rsidR="00376D15">
        <w:rPr>
          <w:color w:val="auto"/>
        </w:rPr>
        <w:t>included as A</w:t>
      </w:r>
      <w:r w:rsidRPr="00C6184F">
        <w:rPr>
          <w:color w:val="auto"/>
        </w:rPr>
        <w:t>ppendix</w:t>
      </w:r>
      <w:r w:rsidR="00C6184F">
        <w:rPr>
          <w:color w:val="auto"/>
        </w:rPr>
        <w:t xml:space="preserve"> </w:t>
      </w:r>
      <w:r w:rsidR="00376D15">
        <w:rPr>
          <w:color w:val="auto"/>
        </w:rPr>
        <w:t>1</w:t>
      </w:r>
      <w:r w:rsidR="00C6184F" w:rsidRPr="00C6184F">
        <w:rPr>
          <w:color w:val="auto"/>
        </w:rPr>
        <w:t xml:space="preserve">) </w:t>
      </w:r>
      <w:r w:rsidR="00042271">
        <w:t xml:space="preserve">in which approval was given to consult on a new Community Infrastructure </w:t>
      </w:r>
      <w:r w:rsidR="00F21F53">
        <w:t>Levy (CIL)</w:t>
      </w:r>
      <w:r w:rsidR="00042271">
        <w:t xml:space="preserve">.  </w:t>
      </w:r>
    </w:p>
    <w:p w:rsidR="009B11F0" w:rsidRDefault="00E9673F" w:rsidP="00E9673F">
      <w:pPr>
        <w:pStyle w:val="bParagraphtext"/>
      </w:pPr>
      <w:r w:rsidRPr="001356F1">
        <w:t>T</w:t>
      </w:r>
      <w:r>
        <w:t>he purpose of this report is to</w:t>
      </w:r>
      <w:r w:rsidR="004A23F1">
        <w:t xml:space="preserve"> </w:t>
      </w:r>
      <w:r w:rsidR="00F21F53">
        <w:t xml:space="preserve">request approval for the </w:t>
      </w:r>
      <w:r w:rsidR="00FE7416">
        <w:t xml:space="preserve">Draft </w:t>
      </w:r>
      <w:r w:rsidR="00F21F53">
        <w:t>Charging Schedule</w:t>
      </w:r>
      <w:r w:rsidR="005E0A6E">
        <w:t xml:space="preserve"> and </w:t>
      </w:r>
      <w:r w:rsidR="005E0A6E" w:rsidRPr="007F1AD5">
        <w:rPr>
          <w:color w:val="auto"/>
        </w:rPr>
        <w:t>revised CIL Regulation 123 list</w:t>
      </w:r>
      <w:r w:rsidR="00366EFD" w:rsidRPr="007F1AD5">
        <w:rPr>
          <w:color w:val="auto"/>
        </w:rPr>
        <w:t xml:space="preserve"> (infrastructure projects or types of infrastructure that the City Council intends to wholly or partly fund through CIL)</w:t>
      </w:r>
      <w:r w:rsidR="00FE7416" w:rsidRPr="007F1AD5">
        <w:rPr>
          <w:color w:val="auto"/>
        </w:rPr>
        <w:t xml:space="preserve">, </w:t>
      </w:r>
      <w:r w:rsidR="00FE7416">
        <w:t>consulted upon in November 2018,</w:t>
      </w:r>
      <w:r w:rsidR="00F21F53">
        <w:t xml:space="preserve"> to be submitted to the Secretary of State for examination</w:t>
      </w:r>
      <w:r w:rsidR="00FE7416">
        <w:t xml:space="preserve"> with some </w:t>
      </w:r>
      <w:r w:rsidR="000E12B0">
        <w:t>modifications</w:t>
      </w:r>
      <w:r w:rsidR="00F21F53">
        <w:t>. Following the consultation and subsequent further viability testing, some amendments to the Charging Schedule are proposed, and CEB is asked for approval of these changes being incorporated into the CIL Charging Schedule</w:t>
      </w:r>
      <w:r w:rsidR="00FE7416">
        <w:t xml:space="preserve"> ahead of submission to the Secretary of State</w:t>
      </w:r>
      <w:r w:rsidR="00F21F53">
        <w:t xml:space="preserve">. The proposed modifications relate to </w:t>
      </w:r>
      <w:r w:rsidR="008E5075">
        <w:t xml:space="preserve">B2 and B8 </w:t>
      </w:r>
      <w:r w:rsidR="00CC08E9">
        <w:t xml:space="preserve">(industrial) </w:t>
      </w:r>
      <w:r w:rsidR="008E5075">
        <w:t>uses</w:t>
      </w:r>
      <w:r w:rsidR="00EE2E32">
        <w:t>.</w:t>
      </w:r>
    </w:p>
    <w:p w:rsidR="000A39F8" w:rsidRDefault="009B11F0" w:rsidP="009B11F0">
      <w:pPr>
        <w:pStyle w:val="bParagraphtext"/>
      </w:pPr>
      <w:r>
        <w:t>If CEB approve</w:t>
      </w:r>
      <w:r w:rsidR="00CC08E9">
        <w:t>s</w:t>
      </w:r>
      <w:r>
        <w:t xml:space="preserve"> the changes</w:t>
      </w:r>
      <w:r w:rsidR="008F101A">
        <w:t xml:space="preserve"> to the Draft Charging Schedule </w:t>
      </w:r>
      <w:r>
        <w:t>a</w:t>
      </w:r>
      <w:r w:rsidRPr="009B11F0">
        <w:t xml:space="preserve"> ‘statement of modification’, will be submitted alongside the draft CIL Charging Schedule </w:t>
      </w:r>
      <w:r>
        <w:t>a</w:t>
      </w:r>
      <w:r w:rsidRPr="009B11F0">
        <w:t>s per regulation 15 of the CIL Regulations 2010 (as amended)</w:t>
      </w:r>
      <w:r w:rsidR="00B0317E">
        <w:t xml:space="preserve"> (the Regulations)</w:t>
      </w:r>
      <w:r>
        <w:t xml:space="preserve">.  </w:t>
      </w:r>
      <w:r w:rsidR="00CC08E9">
        <w:t>The Council</w:t>
      </w:r>
      <w:r w:rsidRPr="009B11F0">
        <w:t xml:space="preserve"> will notify all of the CIL consultation bodies of the proposed modifications on submission of the Charging Schedule.</w:t>
      </w:r>
    </w:p>
    <w:p w:rsidR="00E9673F" w:rsidRDefault="000A39F8" w:rsidP="000A39F8">
      <w:pPr>
        <w:pStyle w:val="bParagraphtext"/>
      </w:pPr>
      <w:r>
        <w:t xml:space="preserve">The report also asks for the approval for </w:t>
      </w:r>
      <w:r w:rsidR="00CF2B86">
        <w:t xml:space="preserve">the introduction of </w:t>
      </w:r>
      <w:r>
        <w:t>a</w:t>
      </w:r>
      <w:r w:rsidR="00FE7416">
        <w:t xml:space="preserve"> discretionary</w:t>
      </w:r>
      <w:r>
        <w:t xml:space="preserve"> Exceptional Circumstances Policy.</w:t>
      </w:r>
      <w:r w:rsidR="008E5075">
        <w:t xml:space="preserve"> </w:t>
      </w:r>
    </w:p>
    <w:p w:rsidR="009B11F0" w:rsidRDefault="009B11F0" w:rsidP="00FA0C3F">
      <w:pPr>
        <w:pStyle w:val="bParagraphtext"/>
        <w:numPr>
          <w:ilvl w:val="0"/>
          <w:numId w:val="0"/>
        </w:numPr>
        <w:ind w:left="360"/>
      </w:pPr>
    </w:p>
    <w:p w:rsidR="00B82ED8" w:rsidRDefault="005B3EB9" w:rsidP="00B82ED8">
      <w:pPr>
        <w:pStyle w:val="bParagraphtext"/>
        <w:numPr>
          <w:ilvl w:val="0"/>
          <w:numId w:val="0"/>
        </w:numPr>
        <w:rPr>
          <w:b/>
        </w:rPr>
      </w:pPr>
      <w:r>
        <w:rPr>
          <w:b/>
        </w:rPr>
        <w:t xml:space="preserve">Responding to issues </w:t>
      </w:r>
      <w:proofErr w:type="gramStart"/>
      <w:r>
        <w:rPr>
          <w:b/>
        </w:rPr>
        <w:t>raised</w:t>
      </w:r>
      <w:proofErr w:type="gramEnd"/>
      <w:r>
        <w:rPr>
          <w:b/>
        </w:rPr>
        <w:t xml:space="preserve"> </w:t>
      </w:r>
      <w:r w:rsidR="00FB6E31">
        <w:rPr>
          <w:b/>
        </w:rPr>
        <w:t>in previous</w:t>
      </w:r>
      <w:r>
        <w:rPr>
          <w:b/>
        </w:rPr>
        <w:t xml:space="preserve"> Draft Charging Schedule consultation</w:t>
      </w:r>
    </w:p>
    <w:p w:rsidR="00EC46D0" w:rsidRDefault="00CC08E9" w:rsidP="00EC46D0">
      <w:pPr>
        <w:pStyle w:val="bParagraphtext"/>
      </w:pPr>
      <w:r>
        <w:t>The Council</w:t>
      </w:r>
      <w:r w:rsidR="00EC46D0" w:rsidRPr="00EC46D0">
        <w:t xml:space="preserve"> carried out a consultation on the Draft Charging Schedule between 1st November and 13th December 2018.  A summary of the 14 responses received to this consultation can be found in Appendix </w:t>
      </w:r>
      <w:r w:rsidR="00376D15">
        <w:t>2</w:t>
      </w:r>
      <w:r w:rsidR="00FE7416">
        <w:t>.</w:t>
      </w:r>
    </w:p>
    <w:p w:rsidR="005B3EB9" w:rsidRDefault="005B3EB9" w:rsidP="005B3EB9">
      <w:pPr>
        <w:pStyle w:val="bParagraphtext"/>
        <w:numPr>
          <w:ilvl w:val="0"/>
          <w:numId w:val="0"/>
        </w:numPr>
        <w:ind w:left="360"/>
      </w:pPr>
    </w:p>
    <w:p w:rsidR="008755E8" w:rsidRDefault="008755E8" w:rsidP="005B3EB9">
      <w:pPr>
        <w:pStyle w:val="bParagraphtext"/>
        <w:numPr>
          <w:ilvl w:val="0"/>
          <w:numId w:val="0"/>
        </w:numPr>
        <w:ind w:left="360"/>
      </w:pPr>
    </w:p>
    <w:p w:rsidR="008755E8" w:rsidRDefault="008755E8" w:rsidP="005B3EB9">
      <w:pPr>
        <w:pStyle w:val="bParagraphtext"/>
        <w:numPr>
          <w:ilvl w:val="0"/>
          <w:numId w:val="0"/>
        </w:numPr>
        <w:ind w:left="360"/>
      </w:pPr>
    </w:p>
    <w:p w:rsidR="008755E8" w:rsidRDefault="008755E8" w:rsidP="005B3EB9">
      <w:pPr>
        <w:pStyle w:val="bParagraphtext"/>
        <w:numPr>
          <w:ilvl w:val="0"/>
          <w:numId w:val="0"/>
        </w:numPr>
        <w:ind w:left="360"/>
      </w:pPr>
    </w:p>
    <w:p w:rsidR="00C353AD" w:rsidRPr="00FA0C3F" w:rsidRDefault="00C353AD" w:rsidP="00C353AD">
      <w:pPr>
        <w:pStyle w:val="bParagraphtext"/>
        <w:numPr>
          <w:ilvl w:val="0"/>
          <w:numId w:val="0"/>
        </w:numPr>
        <w:rPr>
          <w:b/>
          <w:i/>
        </w:rPr>
      </w:pPr>
      <w:r w:rsidRPr="00FA0C3F">
        <w:rPr>
          <w:b/>
          <w:i/>
        </w:rPr>
        <w:lastRenderedPageBreak/>
        <w:t>B1, B2/B8 Industrial</w:t>
      </w:r>
    </w:p>
    <w:p w:rsidR="00EB514F" w:rsidRDefault="00B82ED8" w:rsidP="00E9673F">
      <w:pPr>
        <w:pStyle w:val="bParagraphtext"/>
      </w:pPr>
      <w:r>
        <w:t>The main issue</w:t>
      </w:r>
      <w:r w:rsidR="00C353AD">
        <w:t>s</w:t>
      </w:r>
      <w:r>
        <w:t xml:space="preserve"> </w:t>
      </w:r>
      <w:r w:rsidR="00ED3742">
        <w:t xml:space="preserve">raised in </w:t>
      </w:r>
      <w:r>
        <w:t xml:space="preserve">the responses </w:t>
      </w:r>
      <w:r w:rsidR="00ED3742">
        <w:t>related to</w:t>
      </w:r>
      <w:r>
        <w:t xml:space="preserve"> the </w:t>
      </w:r>
      <w:r w:rsidR="00036DBC">
        <w:t>CIL</w:t>
      </w:r>
      <w:r w:rsidR="00911AF3">
        <w:t xml:space="preserve"> rates </w:t>
      </w:r>
      <w:r>
        <w:t>for B1 (office) and B2/B8 (Industrial)</w:t>
      </w:r>
      <w:r w:rsidR="00911AF3">
        <w:t xml:space="preserve"> being unviable not only at the new rate of £50</w:t>
      </w:r>
      <w:r w:rsidR="00B0317E">
        <w:t xml:space="preserve"> per </w:t>
      </w:r>
      <w:proofErr w:type="spellStart"/>
      <w:r w:rsidR="00B0317E">
        <w:t>sqm</w:t>
      </w:r>
      <w:proofErr w:type="spellEnd"/>
      <w:r w:rsidR="00911AF3">
        <w:t xml:space="preserve">, but also at </w:t>
      </w:r>
      <w:r w:rsidR="00CC08E9">
        <w:t xml:space="preserve">the Council’s </w:t>
      </w:r>
      <w:r w:rsidR="00911AF3" w:rsidRPr="00911AF3">
        <w:t xml:space="preserve"> adopted charging schedule </w:t>
      </w:r>
      <w:r w:rsidR="00B600BB">
        <w:t xml:space="preserve">rate </w:t>
      </w:r>
      <w:r w:rsidR="00911AF3" w:rsidRPr="00911AF3">
        <w:t>of £20</w:t>
      </w:r>
      <w:r w:rsidR="00B0317E">
        <w:t xml:space="preserve"> per </w:t>
      </w:r>
      <w:proofErr w:type="spellStart"/>
      <w:r w:rsidR="00B0317E">
        <w:t>sqm</w:t>
      </w:r>
      <w:proofErr w:type="spellEnd"/>
      <w:r w:rsidR="00911AF3" w:rsidRPr="00911AF3">
        <w:t xml:space="preserve"> </w:t>
      </w:r>
      <w:r w:rsidR="00B600BB">
        <w:t>(currently £28.</w:t>
      </w:r>
      <w:r w:rsidR="004A23F1">
        <w:t>83</w:t>
      </w:r>
      <w:r w:rsidR="00B0317E">
        <w:t xml:space="preserve"> per </w:t>
      </w:r>
      <w:proofErr w:type="spellStart"/>
      <w:r w:rsidR="00B0317E">
        <w:t>sqm</w:t>
      </w:r>
      <w:proofErr w:type="spellEnd"/>
      <w:r w:rsidR="00B600BB">
        <w:t xml:space="preserve"> with indexation)</w:t>
      </w:r>
      <w:r w:rsidR="00911AF3" w:rsidRPr="00911AF3">
        <w:t xml:space="preserve">. </w:t>
      </w:r>
    </w:p>
    <w:p w:rsidR="00622FCE" w:rsidRPr="00622FCE" w:rsidRDefault="00FE7416" w:rsidP="00E87F7A">
      <w:pPr>
        <w:pStyle w:val="bParagraphtext"/>
        <w:spacing w:before="240"/>
        <w:outlineLvl w:val="0"/>
        <w:rPr>
          <w:b/>
          <w:color w:val="FF0000"/>
        </w:rPr>
      </w:pPr>
      <w:r>
        <w:t>As</w:t>
      </w:r>
      <w:r w:rsidR="00ED3742">
        <w:t xml:space="preserve"> a result of the consultation responses received </w:t>
      </w:r>
      <w:r w:rsidR="00CC08E9">
        <w:t>the Council</w:t>
      </w:r>
      <w:r w:rsidR="00ED3742">
        <w:t xml:space="preserve"> instructed </w:t>
      </w:r>
      <w:r w:rsidR="00CC08E9">
        <w:t>its</w:t>
      </w:r>
      <w:r w:rsidR="00ED3742">
        <w:t xml:space="preserve"> consultants to carry out</w:t>
      </w:r>
      <w:r w:rsidR="00EB514F">
        <w:t xml:space="preserve"> </w:t>
      </w:r>
      <w:r w:rsidR="00036DBC">
        <w:t xml:space="preserve">further </w:t>
      </w:r>
      <w:r w:rsidR="00B82ED8">
        <w:t>viability</w:t>
      </w:r>
      <w:r w:rsidR="00ED3742">
        <w:t xml:space="preserve"> testing</w:t>
      </w:r>
      <w:r w:rsidR="00B82ED8">
        <w:t xml:space="preserve"> </w:t>
      </w:r>
      <w:r w:rsidR="00036DBC">
        <w:t xml:space="preserve">for B1 and B2/B8 (see report </w:t>
      </w:r>
      <w:r w:rsidR="00376D15">
        <w:t>at A</w:t>
      </w:r>
      <w:r w:rsidR="00036DBC">
        <w:t xml:space="preserve">ppendix </w:t>
      </w:r>
      <w:r w:rsidR="004E10D5">
        <w:t>3</w:t>
      </w:r>
      <w:r w:rsidR="00036DBC">
        <w:t>).</w:t>
      </w:r>
      <w:r w:rsidR="00B82ED8">
        <w:t xml:space="preserve">  The outcome of these </w:t>
      </w:r>
      <w:r w:rsidR="00911AF3">
        <w:t>further</w:t>
      </w:r>
      <w:r w:rsidR="00B82ED8">
        <w:t xml:space="preserve"> tests show</w:t>
      </w:r>
      <w:r w:rsidR="00BE4F79">
        <w:t>s</w:t>
      </w:r>
      <w:r w:rsidR="00B82ED8">
        <w:t xml:space="preserve"> that </w:t>
      </w:r>
      <w:r w:rsidR="00036DBC">
        <w:t>B1 is viable at the new rate of £50 per sqm</w:t>
      </w:r>
      <w:r w:rsidR="00A61087">
        <w:t>;</w:t>
      </w:r>
      <w:r w:rsidR="00036DBC">
        <w:t xml:space="preserve"> however, </w:t>
      </w:r>
      <w:r w:rsidR="004E10D5">
        <w:t xml:space="preserve">B2 and </w:t>
      </w:r>
      <w:r w:rsidR="00036DBC">
        <w:t xml:space="preserve">B8 </w:t>
      </w:r>
      <w:r w:rsidR="003A0724">
        <w:t>are</w:t>
      </w:r>
      <w:r w:rsidR="00036DBC">
        <w:t xml:space="preserve"> unviable even at a rate of zero.</w:t>
      </w:r>
      <w:r w:rsidR="00FF471C">
        <w:t xml:space="preserve">  </w:t>
      </w:r>
      <w:r w:rsidR="005B3EB9">
        <w:t>The clear evidence from the</w:t>
      </w:r>
      <w:r w:rsidR="00FF471C">
        <w:t xml:space="preserve"> further</w:t>
      </w:r>
      <w:r w:rsidR="00A61087">
        <w:t>, rigorous</w:t>
      </w:r>
      <w:r w:rsidR="00FF471C">
        <w:t xml:space="preserve"> </w:t>
      </w:r>
      <w:r w:rsidR="0036687C">
        <w:t xml:space="preserve">viability </w:t>
      </w:r>
      <w:r w:rsidR="00FF471C">
        <w:t xml:space="preserve">testing </w:t>
      </w:r>
      <w:r w:rsidR="00A61087">
        <w:t>as well as the strong opposition to the approach suggest</w:t>
      </w:r>
      <w:r w:rsidR="00B0317E">
        <w:t>s</w:t>
      </w:r>
      <w:r w:rsidR="00A61087">
        <w:t xml:space="preserve"> that it would be unlikely that </w:t>
      </w:r>
      <w:r w:rsidR="00B0317E">
        <w:t>the Council</w:t>
      </w:r>
      <w:r w:rsidR="00A61087">
        <w:t xml:space="preserve"> could argue for applying a CIL charge to B2 and B8 uses. </w:t>
      </w:r>
      <w:r w:rsidR="00B0317E">
        <w:t>The Council</w:t>
      </w:r>
      <w:r w:rsidR="00FF471C">
        <w:t xml:space="preserve"> </w:t>
      </w:r>
      <w:r w:rsidR="00723EC2">
        <w:t>intend</w:t>
      </w:r>
      <w:r w:rsidR="00B0317E">
        <w:t>s</w:t>
      </w:r>
      <w:r w:rsidR="00723EC2">
        <w:t xml:space="preserve"> to</w:t>
      </w:r>
      <w:r w:rsidR="004E10D5">
        <w:t xml:space="preserve"> </w:t>
      </w:r>
      <w:r w:rsidR="00723EC2">
        <w:t>submit</w:t>
      </w:r>
      <w:r w:rsidR="00FF471C">
        <w:t xml:space="preserve"> a </w:t>
      </w:r>
      <w:r w:rsidR="00723EC2">
        <w:t>‘</w:t>
      </w:r>
      <w:r w:rsidR="00FF471C">
        <w:t>statement of modification</w:t>
      </w:r>
      <w:r w:rsidR="00723EC2">
        <w:t>’</w:t>
      </w:r>
      <w:r w:rsidR="00FF471C">
        <w:t xml:space="preserve"> </w:t>
      </w:r>
      <w:r w:rsidR="00723EC2">
        <w:t xml:space="preserve">to </w:t>
      </w:r>
      <w:r w:rsidR="00D550D9">
        <w:t xml:space="preserve">amend the rate for B2/B8 to zero (Appendix 5) </w:t>
      </w:r>
      <w:r w:rsidR="00723EC2">
        <w:t xml:space="preserve">alongside the draft CIL Charging Schedule </w:t>
      </w:r>
      <w:r w:rsidR="00FB6E31">
        <w:t>(Appendix 4</w:t>
      </w:r>
      <w:r w:rsidR="00A61087">
        <w:t>)</w:t>
      </w:r>
      <w:r w:rsidR="00D550D9" w:rsidRPr="00D550D9">
        <w:t xml:space="preserve"> </w:t>
      </w:r>
      <w:r w:rsidR="00D550D9">
        <w:t>to the Secretary of State for examination</w:t>
      </w:r>
      <w:r w:rsidR="0036687C">
        <w:t xml:space="preserve">. </w:t>
      </w:r>
    </w:p>
    <w:p w:rsidR="00622FCE" w:rsidRPr="00FA0C3F" w:rsidRDefault="00622FCE" w:rsidP="00622FCE">
      <w:pPr>
        <w:pStyle w:val="bParagraphtext"/>
        <w:numPr>
          <w:ilvl w:val="0"/>
          <w:numId w:val="0"/>
        </w:numPr>
        <w:spacing w:before="240"/>
        <w:outlineLvl w:val="0"/>
        <w:rPr>
          <w:b/>
          <w:i/>
          <w:color w:val="auto"/>
        </w:rPr>
      </w:pPr>
      <w:r w:rsidRPr="00FA0C3F">
        <w:rPr>
          <w:b/>
          <w:i/>
          <w:color w:val="auto"/>
        </w:rPr>
        <w:t>Strategic Sites</w:t>
      </w:r>
    </w:p>
    <w:p w:rsidR="005E2585" w:rsidRPr="00FA0C3F" w:rsidRDefault="00B0317E" w:rsidP="003A0724">
      <w:pPr>
        <w:pStyle w:val="bParagraphtext"/>
        <w:spacing w:before="240"/>
        <w:outlineLvl w:val="0"/>
        <w:rPr>
          <w:color w:val="auto"/>
        </w:rPr>
      </w:pPr>
      <w:r>
        <w:rPr>
          <w:color w:val="auto"/>
        </w:rPr>
        <w:t>The Council</w:t>
      </w:r>
      <w:r w:rsidR="00BB6AFC">
        <w:rPr>
          <w:color w:val="auto"/>
        </w:rPr>
        <w:t xml:space="preserve"> received representations </w:t>
      </w:r>
      <w:r w:rsidR="00080396">
        <w:rPr>
          <w:color w:val="auto"/>
        </w:rPr>
        <w:t xml:space="preserve">to the CIL Charging Schedule consultation </w:t>
      </w:r>
      <w:r w:rsidR="00BB6AFC">
        <w:rPr>
          <w:color w:val="auto"/>
        </w:rPr>
        <w:t>requesting that strategic sites</w:t>
      </w:r>
      <w:r w:rsidR="00080396">
        <w:rPr>
          <w:color w:val="auto"/>
        </w:rPr>
        <w:t xml:space="preserve"> should</w:t>
      </w:r>
      <w:r w:rsidR="00BB6AFC">
        <w:rPr>
          <w:color w:val="auto"/>
        </w:rPr>
        <w:t xml:space="preserve"> </w:t>
      </w:r>
      <w:r w:rsidR="003A0724">
        <w:rPr>
          <w:color w:val="auto"/>
        </w:rPr>
        <w:t>be</w:t>
      </w:r>
      <w:r w:rsidR="00BB6AFC">
        <w:rPr>
          <w:color w:val="auto"/>
        </w:rPr>
        <w:t xml:space="preserve"> </w:t>
      </w:r>
      <w:r w:rsidR="005E2585">
        <w:rPr>
          <w:color w:val="auto"/>
        </w:rPr>
        <w:t xml:space="preserve">“zero rated” within the </w:t>
      </w:r>
      <w:r w:rsidR="00BB6AFC">
        <w:rPr>
          <w:color w:val="auto"/>
        </w:rPr>
        <w:t>CIL</w:t>
      </w:r>
      <w:r w:rsidR="005E2585">
        <w:rPr>
          <w:color w:val="auto"/>
        </w:rPr>
        <w:t xml:space="preserve"> charging schedule as allowed for by the regulati</w:t>
      </w:r>
      <w:r w:rsidR="005D2E88">
        <w:rPr>
          <w:color w:val="auto"/>
        </w:rPr>
        <w:t xml:space="preserve">ons. These representations were received specifically in relation to the </w:t>
      </w:r>
      <w:proofErr w:type="spellStart"/>
      <w:r w:rsidR="009D0799">
        <w:rPr>
          <w:color w:val="auto"/>
        </w:rPr>
        <w:t>O</w:t>
      </w:r>
      <w:r w:rsidR="005D2E88">
        <w:rPr>
          <w:color w:val="auto"/>
        </w:rPr>
        <w:t>sney</w:t>
      </w:r>
      <w:proofErr w:type="spellEnd"/>
      <w:r w:rsidR="005D2E88">
        <w:rPr>
          <w:color w:val="auto"/>
        </w:rPr>
        <w:t xml:space="preserve"> Mead and </w:t>
      </w:r>
      <w:r w:rsidR="009D0799">
        <w:rPr>
          <w:color w:val="auto"/>
        </w:rPr>
        <w:t>O</w:t>
      </w:r>
      <w:r w:rsidR="005D2E88">
        <w:rPr>
          <w:color w:val="auto"/>
        </w:rPr>
        <w:t xml:space="preserve">xford </w:t>
      </w:r>
      <w:r w:rsidR="009D0799">
        <w:rPr>
          <w:color w:val="auto"/>
        </w:rPr>
        <w:t>N</w:t>
      </w:r>
      <w:r w:rsidR="005D2E88">
        <w:rPr>
          <w:color w:val="auto"/>
        </w:rPr>
        <w:t xml:space="preserve">orth sites. The reasons given were there was a </w:t>
      </w:r>
      <w:r w:rsidR="005E2585">
        <w:rPr>
          <w:color w:val="auto"/>
        </w:rPr>
        <w:t>likelihood that the</w:t>
      </w:r>
      <w:r w:rsidR="00BB6AFC">
        <w:rPr>
          <w:color w:val="auto"/>
        </w:rPr>
        <w:t xml:space="preserve"> </w:t>
      </w:r>
      <w:r w:rsidR="00FA0C3F">
        <w:t xml:space="preserve">costs of providing the </w:t>
      </w:r>
      <w:r w:rsidR="005B3EB9">
        <w:t>onsite</w:t>
      </w:r>
      <w:r w:rsidR="00FA0C3F">
        <w:t xml:space="preserve"> infrastructure or mitigation necessary were</w:t>
      </w:r>
      <w:r w:rsidR="005E2585">
        <w:t xml:space="preserve"> such that an additional levy may threaten the economic viability of the development. </w:t>
      </w:r>
    </w:p>
    <w:p w:rsidR="005D2E88" w:rsidRDefault="005E2585" w:rsidP="003A0724">
      <w:pPr>
        <w:pStyle w:val="bParagraphtext"/>
        <w:spacing w:before="240"/>
        <w:outlineLvl w:val="0"/>
        <w:rPr>
          <w:color w:val="auto"/>
        </w:rPr>
      </w:pPr>
      <w:r>
        <w:rPr>
          <w:color w:val="auto"/>
        </w:rPr>
        <w:t>Officers</w:t>
      </w:r>
      <w:r w:rsidR="00FE7416">
        <w:rPr>
          <w:color w:val="auto"/>
        </w:rPr>
        <w:t xml:space="preserve"> acknowledge that there </w:t>
      </w:r>
      <w:r w:rsidR="00BB6AFC">
        <w:rPr>
          <w:color w:val="auto"/>
        </w:rPr>
        <w:t xml:space="preserve">are a </w:t>
      </w:r>
      <w:r w:rsidR="00FE7416">
        <w:rPr>
          <w:color w:val="auto"/>
        </w:rPr>
        <w:t>few</w:t>
      </w:r>
      <w:r w:rsidR="00BB6AFC">
        <w:rPr>
          <w:color w:val="auto"/>
        </w:rPr>
        <w:t xml:space="preserve"> complex </w:t>
      </w:r>
      <w:r w:rsidR="00FE7416">
        <w:rPr>
          <w:color w:val="auto"/>
        </w:rPr>
        <w:t xml:space="preserve">mixed use </w:t>
      </w:r>
      <w:r w:rsidR="00064350">
        <w:rPr>
          <w:color w:val="auto"/>
        </w:rPr>
        <w:t>brownfield</w:t>
      </w:r>
      <w:r w:rsidR="00FE7416">
        <w:rPr>
          <w:color w:val="auto"/>
        </w:rPr>
        <w:t xml:space="preserve"> </w:t>
      </w:r>
      <w:r w:rsidR="00BB6AFC">
        <w:rPr>
          <w:color w:val="auto"/>
        </w:rPr>
        <w:t xml:space="preserve">strategic sites in the plan that </w:t>
      </w:r>
      <w:r w:rsidR="00FE7416">
        <w:rPr>
          <w:color w:val="auto"/>
        </w:rPr>
        <w:t>c</w:t>
      </w:r>
      <w:r w:rsidR="00BB6AFC">
        <w:rPr>
          <w:color w:val="auto"/>
        </w:rPr>
        <w:t>ould</w:t>
      </w:r>
      <w:r w:rsidR="00FE7416">
        <w:rPr>
          <w:color w:val="auto"/>
        </w:rPr>
        <w:t xml:space="preserve"> have abno</w:t>
      </w:r>
      <w:r>
        <w:rPr>
          <w:color w:val="auto"/>
        </w:rPr>
        <w:t>rmal circumstances not picked u</w:t>
      </w:r>
      <w:r w:rsidR="00FE7416">
        <w:rPr>
          <w:color w:val="auto"/>
        </w:rPr>
        <w:t>p by the plan wide viability</w:t>
      </w:r>
      <w:r w:rsidR="00E72A47">
        <w:rPr>
          <w:color w:val="auto"/>
        </w:rPr>
        <w:t xml:space="preserve"> </w:t>
      </w:r>
      <w:r w:rsidR="00FE7416">
        <w:rPr>
          <w:color w:val="auto"/>
        </w:rPr>
        <w:t xml:space="preserve">assessment upon which </w:t>
      </w:r>
      <w:r w:rsidR="00B0317E">
        <w:rPr>
          <w:color w:val="auto"/>
        </w:rPr>
        <w:t xml:space="preserve">the </w:t>
      </w:r>
      <w:r w:rsidR="00FE7416">
        <w:rPr>
          <w:color w:val="auto"/>
        </w:rPr>
        <w:t xml:space="preserve">CIL </w:t>
      </w:r>
      <w:r>
        <w:rPr>
          <w:color w:val="auto"/>
        </w:rPr>
        <w:t xml:space="preserve">rate </w:t>
      </w:r>
      <w:r w:rsidR="00FE7416">
        <w:rPr>
          <w:color w:val="auto"/>
        </w:rPr>
        <w:t>is based</w:t>
      </w:r>
      <w:r w:rsidR="00BB6AFC">
        <w:rPr>
          <w:color w:val="auto"/>
        </w:rPr>
        <w:t xml:space="preserve">.  </w:t>
      </w:r>
      <w:r w:rsidR="005D2E88">
        <w:rPr>
          <w:color w:val="auto"/>
        </w:rPr>
        <w:t>Therefore, of</w:t>
      </w:r>
      <w:r>
        <w:rPr>
          <w:color w:val="auto"/>
        </w:rPr>
        <w:t xml:space="preserve">ficers </w:t>
      </w:r>
      <w:r w:rsidR="00BB6AFC">
        <w:rPr>
          <w:color w:val="auto"/>
        </w:rPr>
        <w:t xml:space="preserve">requested that further </w:t>
      </w:r>
      <w:r w:rsidR="003A0724">
        <w:rPr>
          <w:color w:val="auto"/>
        </w:rPr>
        <w:t>viability</w:t>
      </w:r>
      <w:r w:rsidR="00BB6AFC">
        <w:rPr>
          <w:color w:val="auto"/>
        </w:rPr>
        <w:t xml:space="preserve"> testing be carried out on </w:t>
      </w:r>
      <w:r>
        <w:rPr>
          <w:color w:val="auto"/>
        </w:rPr>
        <w:t xml:space="preserve">these </w:t>
      </w:r>
      <w:r w:rsidR="00BB6AFC">
        <w:rPr>
          <w:color w:val="auto"/>
        </w:rPr>
        <w:t>strategic sites</w:t>
      </w:r>
      <w:r>
        <w:rPr>
          <w:color w:val="auto"/>
        </w:rPr>
        <w:t xml:space="preserve"> by the viability consultants. </w:t>
      </w:r>
      <w:r w:rsidR="005D2E88">
        <w:rPr>
          <w:color w:val="auto"/>
        </w:rPr>
        <w:t xml:space="preserve"> The sites investigated were:</w:t>
      </w:r>
    </w:p>
    <w:p w:rsidR="005D2E88" w:rsidRDefault="005D2E88" w:rsidP="008576AA">
      <w:pPr>
        <w:pStyle w:val="bParagraphtext"/>
        <w:numPr>
          <w:ilvl w:val="0"/>
          <w:numId w:val="48"/>
        </w:numPr>
        <w:tabs>
          <w:tab w:val="clear" w:pos="426"/>
          <w:tab w:val="left" w:pos="709"/>
        </w:tabs>
        <w:spacing w:after="100" w:afterAutospacing="1"/>
        <w:ind w:left="709" w:hanging="357"/>
        <w:outlineLvl w:val="0"/>
        <w:rPr>
          <w:color w:val="auto"/>
        </w:rPr>
      </w:pPr>
      <w:proofErr w:type="spellStart"/>
      <w:r>
        <w:rPr>
          <w:color w:val="auto"/>
        </w:rPr>
        <w:t>Osney</w:t>
      </w:r>
      <w:proofErr w:type="spellEnd"/>
      <w:r>
        <w:rPr>
          <w:color w:val="auto"/>
        </w:rPr>
        <w:t xml:space="preserve"> Mead;</w:t>
      </w:r>
    </w:p>
    <w:p w:rsidR="005D2E88" w:rsidRDefault="005D2E88" w:rsidP="008576AA">
      <w:pPr>
        <w:pStyle w:val="bParagraphtext"/>
        <w:numPr>
          <w:ilvl w:val="0"/>
          <w:numId w:val="48"/>
        </w:numPr>
        <w:tabs>
          <w:tab w:val="clear" w:pos="426"/>
          <w:tab w:val="left" w:pos="709"/>
        </w:tabs>
        <w:spacing w:after="100" w:afterAutospacing="1"/>
        <w:ind w:left="709" w:hanging="357"/>
        <w:outlineLvl w:val="0"/>
        <w:rPr>
          <w:color w:val="auto"/>
        </w:rPr>
      </w:pPr>
      <w:r>
        <w:rPr>
          <w:color w:val="auto"/>
        </w:rPr>
        <w:t xml:space="preserve">Blackbird Leys Central Area regeneration; and </w:t>
      </w:r>
    </w:p>
    <w:p w:rsidR="005D2E88" w:rsidRDefault="005D2E88" w:rsidP="008576AA">
      <w:pPr>
        <w:pStyle w:val="bParagraphtext"/>
        <w:numPr>
          <w:ilvl w:val="0"/>
          <w:numId w:val="48"/>
        </w:numPr>
        <w:tabs>
          <w:tab w:val="clear" w:pos="426"/>
          <w:tab w:val="left" w:pos="709"/>
        </w:tabs>
        <w:spacing w:after="100" w:afterAutospacing="1"/>
        <w:ind w:left="709" w:hanging="357"/>
        <w:outlineLvl w:val="0"/>
        <w:rPr>
          <w:color w:val="auto"/>
        </w:rPr>
      </w:pPr>
      <w:proofErr w:type="spellStart"/>
      <w:r>
        <w:rPr>
          <w:color w:val="auto"/>
        </w:rPr>
        <w:t>Oxpens</w:t>
      </w:r>
      <w:proofErr w:type="spellEnd"/>
      <w:r>
        <w:rPr>
          <w:color w:val="auto"/>
        </w:rPr>
        <w:t xml:space="preserve">. </w:t>
      </w:r>
    </w:p>
    <w:p w:rsidR="005D2E88" w:rsidRDefault="005D2E88" w:rsidP="003A0724">
      <w:pPr>
        <w:pStyle w:val="bParagraphtext"/>
        <w:spacing w:before="240"/>
        <w:outlineLvl w:val="0"/>
        <w:rPr>
          <w:color w:val="auto"/>
        </w:rPr>
      </w:pPr>
      <w:r>
        <w:rPr>
          <w:color w:val="auto"/>
        </w:rPr>
        <w:t xml:space="preserve">Oxford North was also considered but it was decided that given this is an existing allocation with a live planning application, which is at an advanced stage, it would not be considered for zero rating as part of this process.  This is particularly relevant as the new CIL schedule will need to be examined after the emerging Local Plan so by the time the new schedule is adopted this site would already have </w:t>
      </w:r>
      <w:r w:rsidR="00B0317E">
        <w:rPr>
          <w:color w:val="auto"/>
        </w:rPr>
        <w:t xml:space="preserve">been </w:t>
      </w:r>
      <w:r w:rsidR="00F516C0">
        <w:rPr>
          <w:color w:val="auto"/>
        </w:rPr>
        <w:t xml:space="preserve">determined. </w:t>
      </w:r>
    </w:p>
    <w:p w:rsidR="005B3EB9" w:rsidRPr="008755E8" w:rsidRDefault="005E2585" w:rsidP="008755E8">
      <w:pPr>
        <w:pStyle w:val="bParagraphtext"/>
        <w:spacing w:before="240" w:after="0"/>
        <w:outlineLvl w:val="0"/>
        <w:rPr>
          <w:b/>
          <w:color w:val="auto"/>
        </w:rPr>
      </w:pPr>
      <w:r w:rsidRPr="008755E8">
        <w:rPr>
          <w:color w:val="auto"/>
        </w:rPr>
        <w:t>Following a review of the information available from the promoters of the sites</w:t>
      </w:r>
      <w:r w:rsidR="005D2E88" w:rsidRPr="008755E8">
        <w:rPr>
          <w:color w:val="auto"/>
        </w:rPr>
        <w:t xml:space="preserve"> being considered</w:t>
      </w:r>
      <w:r w:rsidRPr="008755E8">
        <w:rPr>
          <w:color w:val="auto"/>
        </w:rPr>
        <w:t xml:space="preserve">, it was found that </w:t>
      </w:r>
      <w:r w:rsidR="00BB6AFC" w:rsidRPr="008755E8">
        <w:rPr>
          <w:color w:val="auto"/>
        </w:rPr>
        <w:t xml:space="preserve">there was not enough information </w:t>
      </w:r>
      <w:r w:rsidR="00080396" w:rsidRPr="008755E8">
        <w:rPr>
          <w:color w:val="auto"/>
        </w:rPr>
        <w:t>available</w:t>
      </w:r>
      <w:r w:rsidRPr="008755E8">
        <w:rPr>
          <w:color w:val="auto"/>
        </w:rPr>
        <w:t xml:space="preserve"> at this point in time</w:t>
      </w:r>
      <w:r w:rsidR="00BB6AFC" w:rsidRPr="008755E8">
        <w:rPr>
          <w:color w:val="auto"/>
        </w:rPr>
        <w:t xml:space="preserve"> for </w:t>
      </w:r>
      <w:r w:rsidR="00080396" w:rsidRPr="008755E8">
        <w:rPr>
          <w:color w:val="auto"/>
        </w:rPr>
        <w:t>robust</w:t>
      </w:r>
      <w:r w:rsidR="00BB6AFC" w:rsidRPr="008755E8">
        <w:rPr>
          <w:color w:val="auto"/>
        </w:rPr>
        <w:t xml:space="preserve"> testing </w:t>
      </w:r>
      <w:r w:rsidRPr="008755E8">
        <w:rPr>
          <w:color w:val="auto"/>
        </w:rPr>
        <w:t xml:space="preserve">on a specific site basis </w:t>
      </w:r>
      <w:r w:rsidR="00BB6AFC" w:rsidRPr="008755E8">
        <w:rPr>
          <w:color w:val="auto"/>
        </w:rPr>
        <w:t xml:space="preserve">to be </w:t>
      </w:r>
      <w:r w:rsidR="003A0724" w:rsidRPr="008755E8">
        <w:rPr>
          <w:color w:val="auto"/>
        </w:rPr>
        <w:t>carried</w:t>
      </w:r>
      <w:r w:rsidR="00BB6AFC" w:rsidRPr="008755E8">
        <w:rPr>
          <w:color w:val="auto"/>
        </w:rPr>
        <w:t xml:space="preserve"> out.</w:t>
      </w:r>
      <w:r w:rsidRPr="008755E8">
        <w:rPr>
          <w:color w:val="auto"/>
        </w:rPr>
        <w:t xml:space="preserve"> This was for several reasons that were site </w:t>
      </w:r>
      <w:r w:rsidR="005D2E88" w:rsidRPr="008755E8">
        <w:rPr>
          <w:color w:val="auto"/>
        </w:rPr>
        <w:t>specific</w:t>
      </w:r>
      <w:r w:rsidRPr="008755E8">
        <w:rPr>
          <w:color w:val="auto"/>
        </w:rPr>
        <w:t xml:space="preserve">. However, one of the main reasons </w:t>
      </w:r>
      <w:r w:rsidR="00BC053A" w:rsidRPr="008755E8">
        <w:rPr>
          <w:color w:val="auto"/>
        </w:rPr>
        <w:t>was</w:t>
      </w:r>
      <w:r w:rsidRPr="008755E8">
        <w:rPr>
          <w:color w:val="auto"/>
        </w:rPr>
        <w:t xml:space="preserve"> that the sites did not yet have schemes worked up to be able to confirm unit numbers or employment </w:t>
      </w:r>
      <w:proofErr w:type="spellStart"/>
      <w:r w:rsidRPr="008755E8">
        <w:rPr>
          <w:color w:val="auto"/>
        </w:rPr>
        <w:t>floorspac</w:t>
      </w:r>
      <w:r w:rsidR="005D2E88" w:rsidRPr="008755E8">
        <w:rPr>
          <w:color w:val="auto"/>
        </w:rPr>
        <w:t>e</w:t>
      </w:r>
      <w:proofErr w:type="spellEnd"/>
      <w:r w:rsidR="005D2E88" w:rsidRPr="008755E8">
        <w:rPr>
          <w:color w:val="auto"/>
        </w:rPr>
        <w:t xml:space="preserve"> for testing</w:t>
      </w:r>
      <w:r w:rsidRPr="008755E8">
        <w:rPr>
          <w:color w:val="auto"/>
        </w:rPr>
        <w:t xml:space="preserve">. </w:t>
      </w:r>
      <w:r w:rsidR="005D2E88" w:rsidRPr="008755E8">
        <w:rPr>
          <w:color w:val="auto"/>
        </w:rPr>
        <w:t>A</w:t>
      </w:r>
      <w:r w:rsidRPr="008755E8">
        <w:rPr>
          <w:color w:val="auto"/>
        </w:rPr>
        <w:t>lso</w:t>
      </w:r>
      <w:r w:rsidR="005D2E88" w:rsidRPr="008755E8">
        <w:rPr>
          <w:color w:val="auto"/>
        </w:rPr>
        <w:t>, linked to this, they</w:t>
      </w:r>
      <w:r w:rsidRPr="008755E8">
        <w:rPr>
          <w:color w:val="auto"/>
        </w:rPr>
        <w:t xml:space="preserve"> did not have certainty over abnormal costs that may be above those factored into the viability work.</w:t>
      </w:r>
      <w:r w:rsidR="005D2E88" w:rsidRPr="008755E8">
        <w:rPr>
          <w:color w:val="auto"/>
        </w:rPr>
        <w:t xml:space="preserve"> </w:t>
      </w:r>
      <w:r w:rsidR="005B3EB9" w:rsidRPr="008755E8">
        <w:rPr>
          <w:b/>
          <w:color w:val="auto"/>
        </w:rPr>
        <w:br w:type="page"/>
      </w:r>
    </w:p>
    <w:p w:rsidR="001404F3" w:rsidRDefault="001404F3" w:rsidP="001404F3">
      <w:pPr>
        <w:pStyle w:val="bParagraphtext"/>
        <w:numPr>
          <w:ilvl w:val="0"/>
          <w:numId w:val="0"/>
        </w:numPr>
        <w:rPr>
          <w:b/>
          <w:color w:val="auto"/>
        </w:rPr>
      </w:pPr>
      <w:r>
        <w:rPr>
          <w:b/>
          <w:color w:val="auto"/>
        </w:rPr>
        <w:lastRenderedPageBreak/>
        <w:t xml:space="preserve">Updated </w:t>
      </w:r>
      <w:r w:rsidRPr="00E55C1C">
        <w:rPr>
          <w:b/>
          <w:color w:val="auto"/>
        </w:rPr>
        <w:t>CIL Rates</w:t>
      </w:r>
    </w:p>
    <w:p w:rsidR="001404F3" w:rsidRPr="007B4DDB" w:rsidRDefault="001404F3" w:rsidP="001404F3">
      <w:pPr>
        <w:pStyle w:val="ListParagraph"/>
      </w:pPr>
      <w:r w:rsidRPr="007B4DDB">
        <w:t>The amended CIL rates will be as follows</w:t>
      </w:r>
    </w:p>
    <w:tbl>
      <w:tblPr>
        <w:tblW w:w="8429" w:type="dxa"/>
        <w:tblInd w:w="468" w:type="dxa"/>
        <w:tblLook w:val="01E0" w:firstRow="1" w:lastRow="1" w:firstColumn="1" w:lastColumn="1" w:noHBand="0" w:noVBand="0"/>
      </w:tblPr>
      <w:tblGrid>
        <w:gridCol w:w="6660"/>
        <w:gridCol w:w="1769"/>
      </w:tblGrid>
      <w:tr w:rsidR="001404F3" w:rsidRPr="00667A91" w:rsidTr="008853CB">
        <w:trPr>
          <w:trHeight w:val="469"/>
        </w:trPr>
        <w:tc>
          <w:tcPr>
            <w:tcW w:w="8429" w:type="dxa"/>
            <w:gridSpan w:val="2"/>
            <w:tcBorders>
              <w:top w:val="single" w:sz="12" w:space="0" w:color="auto"/>
              <w:bottom w:val="single" w:sz="12" w:space="0" w:color="auto"/>
            </w:tcBorders>
            <w:shd w:val="clear" w:color="auto" w:fill="auto"/>
          </w:tcPr>
          <w:p w:rsidR="001404F3" w:rsidRPr="00951C9A" w:rsidRDefault="001404F3" w:rsidP="008853CB">
            <w:pPr>
              <w:rPr>
                <w:rFonts w:ascii="Calibri" w:hAnsi="Calibri" w:cs="Arial"/>
                <w:b/>
                <w:color w:val="0070C0"/>
                <w:sz w:val="28"/>
                <w:szCs w:val="28"/>
              </w:rPr>
            </w:pPr>
            <w:r w:rsidRPr="00861F56">
              <w:rPr>
                <w:rFonts w:ascii="Calibri" w:hAnsi="Calibri" w:cs="Arial"/>
                <w:b/>
                <w:color w:val="007373"/>
                <w:sz w:val="28"/>
                <w:szCs w:val="28"/>
              </w:rPr>
              <w:t>The CIL rates</w:t>
            </w:r>
          </w:p>
        </w:tc>
      </w:tr>
      <w:tr w:rsidR="001404F3" w:rsidRPr="00667A91" w:rsidTr="008853CB">
        <w:tc>
          <w:tcPr>
            <w:tcW w:w="6660" w:type="dxa"/>
            <w:tcBorders>
              <w:top w:val="single" w:sz="12" w:space="0" w:color="auto"/>
              <w:bottom w:val="single" w:sz="12" w:space="0" w:color="auto"/>
              <w:right w:val="single" w:sz="2" w:space="0" w:color="auto"/>
            </w:tcBorders>
            <w:shd w:val="clear" w:color="auto" w:fill="auto"/>
          </w:tcPr>
          <w:p w:rsidR="001404F3" w:rsidRPr="00861F56" w:rsidRDefault="001404F3" w:rsidP="008853CB">
            <w:pPr>
              <w:rPr>
                <w:rFonts w:ascii="Calibri" w:hAnsi="Calibri" w:cs="Arial"/>
                <w:b/>
                <w:color w:val="007373"/>
              </w:rPr>
            </w:pPr>
            <w:r w:rsidRPr="00861F56">
              <w:rPr>
                <w:rFonts w:ascii="Calibri" w:hAnsi="Calibri" w:cs="Arial"/>
                <w:b/>
                <w:color w:val="007373"/>
              </w:rPr>
              <w:t xml:space="preserve">Development type </w:t>
            </w:r>
          </w:p>
        </w:tc>
        <w:tc>
          <w:tcPr>
            <w:tcW w:w="1769" w:type="dxa"/>
            <w:tcBorders>
              <w:top w:val="single" w:sz="12" w:space="0" w:color="auto"/>
              <w:left w:val="single" w:sz="2" w:space="0" w:color="auto"/>
              <w:bottom w:val="single" w:sz="12" w:space="0" w:color="auto"/>
            </w:tcBorders>
            <w:shd w:val="clear" w:color="auto" w:fill="auto"/>
          </w:tcPr>
          <w:p w:rsidR="001404F3" w:rsidRPr="00861F56" w:rsidRDefault="001404F3" w:rsidP="008853CB">
            <w:pPr>
              <w:rPr>
                <w:rFonts w:ascii="Calibri" w:hAnsi="Calibri" w:cs="Arial"/>
                <w:b/>
                <w:color w:val="007373"/>
              </w:rPr>
            </w:pPr>
            <w:r w:rsidRPr="00861F56">
              <w:rPr>
                <w:rFonts w:ascii="Calibri" w:hAnsi="Calibri" w:cs="Arial"/>
                <w:b/>
                <w:color w:val="007373"/>
              </w:rPr>
              <w:t>CIL Rate/m</w:t>
            </w:r>
            <w:r w:rsidRPr="00861F56">
              <w:rPr>
                <w:rFonts w:ascii="Calibri" w:hAnsi="Calibri" w:cs="Arial"/>
                <w:b/>
                <w:color w:val="007373"/>
                <w:vertAlign w:val="superscript"/>
              </w:rPr>
              <w:t>2</w:t>
            </w:r>
          </w:p>
        </w:tc>
      </w:tr>
      <w:tr w:rsidR="001404F3" w:rsidRPr="00085E41" w:rsidTr="008853CB">
        <w:tc>
          <w:tcPr>
            <w:tcW w:w="6660" w:type="dxa"/>
            <w:tcBorders>
              <w:top w:val="single" w:sz="12" w:space="0" w:color="auto"/>
              <w:bottom w:val="single" w:sz="4" w:space="0" w:color="auto"/>
              <w:right w:val="single" w:sz="2" w:space="0" w:color="auto"/>
            </w:tcBorders>
          </w:tcPr>
          <w:p w:rsidR="001404F3" w:rsidRPr="00951C9A" w:rsidRDefault="001404F3" w:rsidP="008853CB">
            <w:pPr>
              <w:rPr>
                <w:rFonts w:ascii="Calibri" w:hAnsi="Calibri" w:cs="Arial"/>
                <w:sz w:val="22"/>
                <w:szCs w:val="22"/>
              </w:rPr>
            </w:pPr>
            <w:r w:rsidRPr="00951C9A">
              <w:rPr>
                <w:rStyle w:val="Strong"/>
                <w:rFonts w:ascii="Calibri" w:hAnsi="Calibri"/>
                <w:sz w:val="22"/>
                <w:szCs w:val="22"/>
              </w:rPr>
              <w:t>A1 Shops</w:t>
            </w:r>
          </w:p>
        </w:tc>
        <w:tc>
          <w:tcPr>
            <w:tcW w:w="1769" w:type="dxa"/>
            <w:tcBorders>
              <w:top w:val="single" w:sz="12" w:space="0" w:color="auto"/>
              <w:left w:val="single" w:sz="2" w:space="0" w:color="auto"/>
              <w:bottom w:val="single" w:sz="4" w:space="0" w:color="auto"/>
            </w:tcBorders>
          </w:tcPr>
          <w:p w:rsidR="001404F3" w:rsidRPr="00CB0A9E" w:rsidRDefault="001404F3" w:rsidP="008853CB">
            <w:pPr>
              <w:jc w:val="center"/>
              <w:rPr>
                <w:rFonts w:ascii="Calibri" w:hAnsi="Calibri" w:cs="Arial"/>
                <w:sz w:val="22"/>
                <w:szCs w:val="22"/>
              </w:rPr>
            </w:pPr>
            <w:r w:rsidRPr="00CB0A9E">
              <w:rPr>
                <w:rFonts w:ascii="Calibri" w:hAnsi="Calibri" w:cs="Arial"/>
                <w:sz w:val="22"/>
                <w:szCs w:val="22"/>
              </w:rPr>
              <w:t>£200</w:t>
            </w:r>
          </w:p>
        </w:tc>
      </w:tr>
      <w:tr w:rsidR="001404F3" w:rsidRPr="00085E41" w:rsidTr="008853CB">
        <w:tc>
          <w:tcPr>
            <w:tcW w:w="6660" w:type="dxa"/>
            <w:tcBorders>
              <w:top w:val="single" w:sz="4" w:space="0" w:color="auto"/>
              <w:bottom w:val="single" w:sz="4" w:space="0" w:color="auto"/>
              <w:right w:val="single" w:sz="2" w:space="0" w:color="auto"/>
            </w:tcBorders>
          </w:tcPr>
          <w:p w:rsidR="001404F3" w:rsidRPr="00951C9A" w:rsidRDefault="001404F3" w:rsidP="008853CB">
            <w:pPr>
              <w:rPr>
                <w:rFonts w:ascii="Calibri" w:hAnsi="Calibri" w:cs="Arial"/>
                <w:sz w:val="22"/>
                <w:szCs w:val="22"/>
              </w:rPr>
            </w:pPr>
            <w:r w:rsidRPr="00951C9A">
              <w:rPr>
                <w:rStyle w:val="Strong"/>
                <w:rFonts w:ascii="Calibri" w:hAnsi="Calibri"/>
                <w:sz w:val="22"/>
                <w:szCs w:val="22"/>
              </w:rPr>
              <w:t>A2 Financial and professional services</w:t>
            </w:r>
          </w:p>
        </w:tc>
        <w:tc>
          <w:tcPr>
            <w:tcW w:w="1769" w:type="dxa"/>
            <w:tcBorders>
              <w:top w:val="single" w:sz="4" w:space="0" w:color="auto"/>
              <w:left w:val="single" w:sz="2" w:space="0" w:color="auto"/>
              <w:bottom w:val="single" w:sz="4" w:space="0" w:color="auto"/>
            </w:tcBorders>
          </w:tcPr>
          <w:p w:rsidR="001404F3" w:rsidRPr="00CB0A9E" w:rsidRDefault="001404F3" w:rsidP="008853CB">
            <w:pPr>
              <w:jc w:val="center"/>
            </w:pPr>
            <w:r w:rsidRPr="00CB0A9E">
              <w:rPr>
                <w:rFonts w:ascii="Calibri" w:hAnsi="Calibri" w:cs="Arial"/>
                <w:sz w:val="22"/>
                <w:szCs w:val="22"/>
              </w:rPr>
              <w:t>£200</w:t>
            </w:r>
          </w:p>
        </w:tc>
      </w:tr>
      <w:tr w:rsidR="001404F3" w:rsidRPr="00085E41" w:rsidTr="008853CB">
        <w:tc>
          <w:tcPr>
            <w:tcW w:w="6660" w:type="dxa"/>
            <w:tcBorders>
              <w:top w:val="single" w:sz="4" w:space="0" w:color="auto"/>
              <w:bottom w:val="single" w:sz="4" w:space="0" w:color="auto"/>
              <w:right w:val="single" w:sz="2" w:space="0" w:color="auto"/>
            </w:tcBorders>
          </w:tcPr>
          <w:p w:rsidR="001404F3" w:rsidRPr="00951C9A" w:rsidRDefault="001404F3" w:rsidP="008853CB">
            <w:pPr>
              <w:rPr>
                <w:rFonts w:ascii="Calibri" w:hAnsi="Calibri" w:cs="Arial"/>
                <w:sz w:val="22"/>
                <w:szCs w:val="22"/>
              </w:rPr>
            </w:pPr>
            <w:r w:rsidRPr="00951C9A">
              <w:rPr>
                <w:rStyle w:val="Strong"/>
                <w:rFonts w:ascii="Calibri" w:hAnsi="Calibri"/>
                <w:sz w:val="22"/>
                <w:szCs w:val="22"/>
              </w:rPr>
              <w:t>A3 Restaurants and cafés</w:t>
            </w:r>
          </w:p>
        </w:tc>
        <w:tc>
          <w:tcPr>
            <w:tcW w:w="1769" w:type="dxa"/>
            <w:tcBorders>
              <w:top w:val="single" w:sz="4" w:space="0" w:color="auto"/>
              <w:left w:val="single" w:sz="2" w:space="0" w:color="auto"/>
              <w:bottom w:val="single" w:sz="4" w:space="0" w:color="auto"/>
            </w:tcBorders>
          </w:tcPr>
          <w:p w:rsidR="001404F3" w:rsidRPr="00CB0A9E" w:rsidRDefault="001404F3" w:rsidP="008853CB">
            <w:pPr>
              <w:jc w:val="center"/>
            </w:pPr>
            <w:r w:rsidRPr="00CB0A9E">
              <w:rPr>
                <w:rFonts w:ascii="Calibri" w:hAnsi="Calibri" w:cs="Arial"/>
                <w:sz w:val="22"/>
                <w:szCs w:val="22"/>
              </w:rPr>
              <w:t>£200</w:t>
            </w:r>
          </w:p>
        </w:tc>
      </w:tr>
      <w:tr w:rsidR="001404F3" w:rsidRPr="00085E41" w:rsidTr="008853CB">
        <w:tc>
          <w:tcPr>
            <w:tcW w:w="6660" w:type="dxa"/>
            <w:tcBorders>
              <w:top w:val="single" w:sz="4" w:space="0" w:color="auto"/>
              <w:bottom w:val="single" w:sz="4" w:space="0" w:color="auto"/>
              <w:right w:val="single" w:sz="2" w:space="0" w:color="auto"/>
            </w:tcBorders>
          </w:tcPr>
          <w:p w:rsidR="001404F3" w:rsidRPr="00951C9A" w:rsidRDefault="001404F3" w:rsidP="008853CB">
            <w:pPr>
              <w:rPr>
                <w:rFonts w:ascii="Calibri" w:hAnsi="Calibri" w:cs="Arial"/>
                <w:sz w:val="22"/>
                <w:szCs w:val="22"/>
              </w:rPr>
            </w:pPr>
            <w:r w:rsidRPr="00951C9A">
              <w:rPr>
                <w:rStyle w:val="Strong"/>
                <w:rFonts w:ascii="Calibri" w:hAnsi="Calibri"/>
                <w:sz w:val="22"/>
                <w:szCs w:val="22"/>
              </w:rPr>
              <w:t>A4 Drinking establishments</w:t>
            </w:r>
          </w:p>
        </w:tc>
        <w:tc>
          <w:tcPr>
            <w:tcW w:w="1769" w:type="dxa"/>
            <w:tcBorders>
              <w:top w:val="single" w:sz="4" w:space="0" w:color="auto"/>
              <w:left w:val="single" w:sz="2" w:space="0" w:color="auto"/>
              <w:bottom w:val="single" w:sz="4" w:space="0" w:color="auto"/>
            </w:tcBorders>
          </w:tcPr>
          <w:p w:rsidR="001404F3" w:rsidRPr="00CB0A9E" w:rsidRDefault="001404F3" w:rsidP="008853CB">
            <w:pPr>
              <w:jc w:val="center"/>
            </w:pPr>
            <w:r w:rsidRPr="00CB0A9E">
              <w:rPr>
                <w:rFonts w:ascii="Calibri" w:hAnsi="Calibri" w:cs="Arial"/>
                <w:sz w:val="22"/>
                <w:szCs w:val="22"/>
              </w:rPr>
              <w:t>£200</w:t>
            </w:r>
          </w:p>
        </w:tc>
      </w:tr>
      <w:tr w:rsidR="001404F3" w:rsidRPr="00085E41" w:rsidTr="008853CB">
        <w:tc>
          <w:tcPr>
            <w:tcW w:w="6660" w:type="dxa"/>
            <w:tcBorders>
              <w:top w:val="single" w:sz="4" w:space="0" w:color="auto"/>
              <w:bottom w:val="single" w:sz="4" w:space="0" w:color="auto"/>
              <w:right w:val="single" w:sz="2" w:space="0" w:color="auto"/>
            </w:tcBorders>
          </w:tcPr>
          <w:p w:rsidR="001404F3" w:rsidRPr="00951C9A" w:rsidRDefault="001404F3" w:rsidP="008853CB">
            <w:pPr>
              <w:rPr>
                <w:rFonts w:ascii="Calibri" w:hAnsi="Calibri" w:cs="Arial"/>
                <w:sz w:val="22"/>
                <w:szCs w:val="22"/>
              </w:rPr>
            </w:pPr>
            <w:r w:rsidRPr="00951C9A">
              <w:rPr>
                <w:rStyle w:val="Strong"/>
                <w:rFonts w:ascii="Calibri" w:hAnsi="Calibri"/>
                <w:sz w:val="22"/>
                <w:szCs w:val="22"/>
              </w:rPr>
              <w:t>A5 Hot food takeaways</w:t>
            </w:r>
          </w:p>
        </w:tc>
        <w:tc>
          <w:tcPr>
            <w:tcW w:w="1769" w:type="dxa"/>
            <w:tcBorders>
              <w:top w:val="single" w:sz="4" w:space="0" w:color="auto"/>
              <w:left w:val="single" w:sz="2" w:space="0" w:color="auto"/>
              <w:bottom w:val="single" w:sz="4" w:space="0" w:color="auto"/>
            </w:tcBorders>
          </w:tcPr>
          <w:p w:rsidR="001404F3" w:rsidRPr="00CB0A9E" w:rsidRDefault="001404F3" w:rsidP="008853CB">
            <w:pPr>
              <w:jc w:val="center"/>
            </w:pPr>
            <w:r w:rsidRPr="00CB0A9E">
              <w:rPr>
                <w:rFonts w:ascii="Calibri" w:hAnsi="Calibri" w:cs="Arial"/>
                <w:sz w:val="22"/>
                <w:szCs w:val="22"/>
              </w:rPr>
              <w:t>£200</w:t>
            </w:r>
          </w:p>
        </w:tc>
      </w:tr>
      <w:tr w:rsidR="001404F3" w:rsidRPr="00085E41" w:rsidTr="008853CB">
        <w:tc>
          <w:tcPr>
            <w:tcW w:w="6660" w:type="dxa"/>
            <w:tcBorders>
              <w:top w:val="single" w:sz="4" w:space="0" w:color="auto"/>
              <w:bottom w:val="single" w:sz="4" w:space="0" w:color="auto"/>
              <w:right w:val="single" w:sz="2" w:space="0" w:color="auto"/>
            </w:tcBorders>
          </w:tcPr>
          <w:p w:rsidR="001404F3" w:rsidRPr="00951C9A" w:rsidRDefault="001404F3" w:rsidP="008853CB">
            <w:pPr>
              <w:rPr>
                <w:rFonts w:ascii="Calibri" w:hAnsi="Calibri" w:cs="Arial"/>
                <w:sz w:val="22"/>
                <w:szCs w:val="22"/>
              </w:rPr>
            </w:pPr>
            <w:r w:rsidRPr="00951C9A">
              <w:rPr>
                <w:rStyle w:val="Strong"/>
                <w:rFonts w:ascii="Calibri" w:hAnsi="Calibri"/>
                <w:sz w:val="22"/>
                <w:szCs w:val="22"/>
              </w:rPr>
              <w:t>B1 Business</w:t>
            </w:r>
          </w:p>
        </w:tc>
        <w:tc>
          <w:tcPr>
            <w:tcW w:w="1769" w:type="dxa"/>
            <w:tcBorders>
              <w:top w:val="single" w:sz="4" w:space="0" w:color="auto"/>
              <w:left w:val="single" w:sz="2" w:space="0" w:color="auto"/>
              <w:bottom w:val="single" w:sz="4" w:space="0" w:color="auto"/>
            </w:tcBorders>
          </w:tcPr>
          <w:p w:rsidR="001404F3" w:rsidRPr="00CB0A9E" w:rsidRDefault="001404F3" w:rsidP="008853CB">
            <w:pPr>
              <w:jc w:val="center"/>
              <w:rPr>
                <w:rFonts w:ascii="Calibri" w:hAnsi="Calibri" w:cs="Arial"/>
                <w:sz w:val="22"/>
                <w:szCs w:val="22"/>
              </w:rPr>
            </w:pPr>
            <w:r w:rsidRPr="00CB0A9E">
              <w:rPr>
                <w:rFonts w:ascii="Calibri" w:hAnsi="Calibri" w:cs="Arial"/>
                <w:sz w:val="22"/>
                <w:szCs w:val="22"/>
              </w:rPr>
              <w:t>£50</w:t>
            </w:r>
          </w:p>
        </w:tc>
      </w:tr>
      <w:tr w:rsidR="001404F3" w:rsidRPr="00085E41" w:rsidTr="008853CB">
        <w:tc>
          <w:tcPr>
            <w:tcW w:w="6660" w:type="dxa"/>
            <w:tcBorders>
              <w:top w:val="single" w:sz="4" w:space="0" w:color="auto"/>
              <w:bottom w:val="single" w:sz="4" w:space="0" w:color="auto"/>
              <w:right w:val="single" w:sz="2" w:space="0" w:color="auto"/>
            </w:tcBorders>
          </w:tcPr>
          <w:p w:rsidR="001404F3" w:rsidRPr="00951C9A" w:rsidRDefault="001404F3" w:rsidP="008853CB">
            <w:pPr>
              <w:rPr>
                <w:rFonts w:ascii="Calibri" w:hAnsi="Calibri" w:cs="Arial"/>
                <w:sz w:val="22"/>
                <w:szCs w:val="22"/>
              </w:rPr>
            </w:pPr>
            <w:r w:rsidRPr="00951C9A">
              <w:rPr>
                <w:rStyle w:val="Strong"/>
                <w:rFonts w:ascii="Calibri" w:hAnsi="Calibri"/>
                <w:sz w:val="22"/>
                <w:szCs w:val="22"/>
              </w:rPr>
              <w:t>B2 General industrial</w:t>
            </w:r>
          </w:p>
        </w:tc>
        <w:tc>
          <w:tcPr>
            <w:tcW w:w="1769" w:type="dxa"/>
            <w:tcBorders>
              <w:top w:val="single" w:sz="4" w:space="0" w:color="auto"/>
              <w:left w:val="single" w:sz="2" w:space="0" w:color="auto"/>
              <w:bottom w:val="single" w:sz="4" w:space="0" w:color="auto"/>
            </w:tcBorders>
          </w:tcPr>
          <w:p w:rsidR="001404F3" w:rsidRPr="004E10D5" w:rsidRDefault="001404F3" w:rsidP="008853CB">
            <w:pPr>
              <w:jc w:val="center"/>
              <w:rPr>
                <w:rFonts w:ascii="Calibri" w:hAnsi="Calibri" w:cs="Arial"/>
                <w:sz w:val="22"/>
                <w:szCs w:val="22"/>
                <w:u w:val="single"/>
              </w:rPr>
            </w:pPr>
            <w:r w:rsidRPr="004E10D5">
              <w:rPr>
                <w:rFonts w:ascii="Calibri" w:hAnsi="Calibri" w:cs="Arial"/>
                <w:strike/>
                <w:sz w:val="22"/>
                <w:szCs w:val="22"/>
                <w:u w:val="single"/>
              </w:rPr>
              <w:t>£50</w:t>
            </w:r>
            <w:r w:rsidRPr="004E10D5">
              <w:rPr>
                <w:rFonts w:ascii="Calibri" w:hAnsi="Calibri" w:cs="Arial"/>
                <w:sz w:val="22"/>
                <w:szCs w:val="22"/>
                <w:u w:val="single"/>
              </w:rPr>
              <w:t>£0</w:t>
            </w:r>
          </w:p>
        </w:tc>
      </w:tr>
      <w:tr w:rsidR="001404F3" w:rsidRPr="00085E41" w:rsidTr="008853CB">
        <w:tc>
          <w:tcPr>
            <w:tcW w:w="6660" w:type="dxa"/>
            <w:tcBorders>
              <w:top w:val="single" w:sz="4" w:space="0" w:color="auto"/>
              <w:bottom w:val="single" w:sz="4" w:space="0" w:color="auto"/>
              <w:right w:val="single" w:sz="2" w:space="0" w:color="auto"/>
            </w:tcBorders>
          </w:tcPr>
          <w:p w:rsidR="001404F3" w:rsidRPr="00951C9A" w:rsidRDefault="001404F3" w:rsidP="008853CB">
            <w:pPr>
              <w:rPr>
                <w:rFonts w:ascii="Calibri" w:hAnsi="Calibri" w:cs="Arial"/>
                <w:sz w:val="22"/>
                <w:szCs w:val="22"/>
              </w:rPr>
            </w:pPr>
            <w:r w:rsidRPr="00951C9A">
              <w:rPr>
                <w:rStyle w:val="Strong"/>
                <w:rFonts w:ascii="Calibri" w:hAnsi="Calibri"/>
                <w:sz w:val="22"/>
                <w:szCs w:val="22"/>
              </w:rPr>
              <w:t>B8 Storage or distribution</w:t>
            </w:r>
          </w:p>
        </w:tc>
        <w:tc>
          <w:tcPr>
            <w:tcW w:w="1769" w:type="dxa"/>
            <w:tcBorders>
              <w:top w:val="single" w:sz="4" w:space="0" w:color="auto"/>
              <w:left w:val="single" w:sz="2" w:space="0" w:color="auto"/>
              <w:bottom w:val="single" w:sz="4" w:space="0" w:color="auto"/>
            </w:tcBorders>
          </w:tcPr>
          <w:p w:rsidR="001404F3" w:rsidRPr="004E10D5" w:rsidRDefault="001404F3" w:rsidP="008853CB">
            <w:pPr>
              <w:jc w:val="center"/>
              <w:rPr>
                <w:rFonts w:ascii="Calibri" w:hAnsi="Calibri" w:cs="Arial"/>
                <w:sz w:val="22"/>
                <w:szCs w:val="22"/>
                <w:u w:val="single"/>
              </w:rPr>
            </w:pPr>
            <w:r w:rsidRPr="004E10D5">
              <w:rPr>
                <w:rFonts w:ascii="Calibri" w:hAnsi="Calibri" w:cs="Arial"/>
                <w:strike/>
                <w:sz w:val="22"/>
                <w:szCs w:val="22"/>
                <w:u w:val="single"/>
              </w:rPr>
              <w:t>£50</w:t>
            </w:r>
            <w:r w:rsidRPr="004E10D5">
              <w:rPr>
                <w:rFonts w:ascii="Calibri" w:hAnsi="Calibri" w:cs="Arial"/>
                <w:sz w:val="22"/>
                <w:szCs w:val="22"/>
                <w:u w:val="single"/>
              </w:rPr>
              <w:t>£0</w:t>
            </w:r>
          </w:p>
        </w:tc>
      </w:tr>
      <w:tr w:rsidR="001404F3" w:rsidRPr="00085E41" w:rsidTr="008853CB">
        <w:tc>
          <w:tcPr>
            <w:tcW w:w="6660" w:type="dxa"/>
            <w:tcBorders>
              <w:top w:val="single" w:sz="4" w:space="0" w:color="auto"/>
              <w:bottom w:val="single" w:sz="4" w:space="0" w:color="auto"/>
              <w:right w:val="single" w:sz="2" w:space="0" w:color="auto"/>
            </w:tcBorders>
          </w:tcPr>
          <w:p w:rsidR="001404F3" w:rsidRPr="00951C9A" w:rsidRDefault="001404F3" w:rsidP="008853CB">
            <w:pPr>
              <w:rPr>
                <w:rFonts w:ascii="Calibri" w:hAnsi="Calibri" w:cs="Arial"/>
                <w:sz w:val="22"/>
                <w:szCs w:val="22"/>
              </w:rPr>
            </w:pPr>
            <w:r w:rsidRPr="00951C9A">
              <w:rPr>
                <w:rStyle w:val="Strong"/>
                <w:rFonts w:ascii="Calibri" w:hAnsi="Calibri"/>
                <w:sz w:val="22"/>
                <w:szCs w:val="22"/>
              </w:rPr>
              <w:t>C1 Hotels</w:t>
            </w:r>
          </w:p>
        </w:tc>
        <w:tc>
          <w:tcPr>
            <w:tcW w:w="1769" w:type="dxa"/>
            <w:tcBorders>
              <w:top w:val="single" w:sz="4" w:space="0" w:color="auto"/>
              <w:left w:val="single" w:sz="2" w:space="0" w:color="auto"/>
              <w:bottom w:val="single" w:sz="4" w:space="0" w:color="auto"/>
            </w:tcBorders>
          </w:tcPr>
          <w:p w:rsidR="001404F3" w:rsidRPr="00CB0A9E" w:rsidRDefault="001404F3" w:rsidP="008853CB">
            <w:pPr>
              <w:jc w:val="center"/>
              <w:rPr>
                <w:rFonts w:ascii="Calibri" w:hAnsi="Calibri" w:cs="Arial"/>
                <w:sz w:val="22"/>
                <w:szCs w:val="22"/>
              </w:rPr>
            </w:pPr>
            <w:r w:rsidRPr="00CB0A9E">
              <w:rPr>
                <w:rFonts w:ascii="Calibri" w:hAnsi="Calibri" w:cs="Arial"/>
                <w:sz w:val="22"/>
                <w:szCs w:val="22"/>
              </w:rPr>
              <w:t>£50</w:t>
            </w:r>
          </w:p>
        </w:tc>
      </w:tr>
      <w:tr w:rsidR="001404F3" w:rsidRPr="00085E41" w:rsidTr="008853CB">
        <w:tc>
          <w:tcPr>
            <w:tcW w:w="6660" w:type="dxa"/>
            <w:tcBorders>
              <w:top w:val="single" w:sz="4" w:space="0" w:color="auto"/>
              <w:bottom w:val="single" w:sz="4" w:space="0" w:color="auto"/>
              <w:right w:val="single" w:sz="2" w:space="0" w:color="auto"/>
            </w:tcBorders>
          </w:tcPr>
          <w:p w:rsidR="001404F3" w:rsidRPr="00951C9A" w:rsidRDefault="001404F3" w:rsidP="008853CB">
            <w:pPr>
              <w:rPr>
                <w:rFonts w:ascii="Calibri" w:hAnsi="Calibri" w:cs="Arial"/>
                <w:sz w:val="22"/>
                <w:szCs w:val="22"/>
              </w:rPr>
            </w:pPr>
            <w:r w:rsidRPr="00951C9A">
              <w:rPr>
                <w:rStyle w:val="Strong"/>
                <w:rFonts w:ascii="Calibri" w:hAnsi="Calibri"/>
                <w:sz w:val="22"/>
                <w:szCs w:val="22"/>
              </w:rPr>
              <w:t>C2 and C2A Residential institutions and Secure Residential Institution</w:t>
            </w:r>
          </w:p>
        </w:tc>
        <w:tc>
          <w:tcPr>
            <w:tcW w:w="1769" w:type="dxa"/>
            <w:tcBorders>
              <w:top w:val="single" w:sz="4" w:space="0" w:color="auto"/>
              <w:left w:val="single" w:sz="2" w:space="0" w:color="auto"/>
              <w:bottom w:val="single" w:sz="4" w:space="0" w:color="auto"/>
            </w:tcBorders>
          </w:tcPr>
          <w:p w:rsidR="001404F3" w:rsidRPr="00CB0A9E" w:rsidRDefault="001404F3" w:rsidP="008853CB">
            <w:pPr>
              <w:jc w:val="center"/>
              <w:rPr>
                <w:rFonts w:ascii="Calibri" w:hAnsi="Calibri" w:cs="Arial"/>
                <w:sz w:val="22"/>
                <w:szCs w:val="22"/>
              </w:rPr>
            </w:pPr>
            <w:r w:rsidRPr="00CB0A9E">
              <w:rPr>
                <w:rFonts w:ascii="Calibri" w:hAnsi="Calibri" w:cs="Arial"/>
                <w:sz w:val="22"/>
                <w:szCs w:val="22"/>
              </w:rPr>
              <w:t>£50</w:t>
            </w:r>
          </w:p>
        </w:tc>
      </w:tr>
      <w:tr w:rsidR="001404F3" w:rsidRPr="00085E41" w:rsidTr="008853CB">
        <w:tc>
          <w:tcPr>
            <w:tcW w:w="6660" w:type="dxa"/>
            <w:tcBorders>
              <w:top w:val="single" w:sz="4" w:space="0" w:color="auto"/>
              <w:bottom w:val="single" w:sz="4" w:space="0" w:color="auto"/>
              <w:right w:val="single" w:sz="2" w:space="0" w:color="auto"/>
            </w:tcBorders>
          </w:tcPr>
          <w:p w:rsidR="001404F3" w:rsidRPr="00951C9A" w:rsidRDefault="001404F3" w:rsidP="008853CB">
            <w:pPr>
              <w:rPr>
                <w:rFonts w:ascii="Calibri" w:hAnsi="Calibri" w:cs="Arial"/>
                <w:sz w:val="22"/>
                <w:szCs w:val="22"/>
              </w:rPr>
            </w:pPr>
            <w:r w:rsidRPr="00951C9A">
              <w:rPr>
                <w:rStyle w:val="Strong"/>
                <w:rFonts w:ascii="Calibri" w:hAnsi="Calibri"/>
                <w:sz w:val="22"/>
                <w:szCs w:val="22"/>
              </w:rPr>
              <w:t xml:space="preserve">C3 </w:t>
            </w:r>
            <w:proofErr w:type="spellStart"/>
            <w:r w:rsidRPr="00951C9A">
              <w:rPr>
                <w:rStyle w:val="Strong"/>
                <w:rFonts w:ascii="Calibri" w:hAnsi="Calibri"/>
                <w:sz w:val="22"/>
                <w:szCs w:val="22"/>
              </w:rPr>
              <w:t>Dwellinghouses</w:t>
            </w:r>
            <w:proofErr w:type="spellEnd"/>
            <w:r w:rsidRPr="00951C9A">
              <w:rPr>
                <w:rStyle w:val="Strong"/>
                <w:rFonts w:ascii="Calibri" w:hAnsi="Calibri"/>
                <w:sz w:val="22"/>
                <w:szCs w:val="22"/>
              </w:rPr>
              <w:t>*</w:t>
            </w:r>
          </w:p>
        </w:tc>
        <w:tc>
          <w:tcPr>
            <w:tcW w:w="1769" w:type="dxa"/>
            <w:tcBorders>
              <w:top w:val="single" w:sz="4" w:space="0" w:color="auto"/>
              <w:left w:val="single" w:sz="2" w:space="0" w:color="auto"/>
              <w:bottom w:val="single" w:sz="4" w:space="0" w:color="auto"/>
            </w:tcBorders>
          </w:tcPr>
          <w:p w:rsidR="001404F3" w:rsidRPr="00CB0A9E" w:rsidRDefault="001404F3" w:rsidP="008853CB">
            <w:pPr>
              <w:jc w:val="center"/>
              <w:rPr>
                <w:rFonts w:ascii="Calibri" w:hAnsi="Calibri" w:cs="Arial"/>
                <w:sz w:val="22"/>
                <w:szCs w:val="22"/>
              </w:rPr>
            </w:pPr>
            <w:r w:rsidRPr="00CB0A9E">
              <w:rPr>
                <w:rFonts w:ascii="Calibri" w:hAnsi="Calibri" w:cs="Arial"/>
                <w:sz w:val="22"/>
                <w:szCs w:val="22"/>
              </w:rPr>
              <w:t>£200</w:t>
            </w:r>
          </w:p>
        </w:tc>
      </w:tr>
      <w:tr w:rsidR="001404F3" w:rsidRPr="00085E41" w:rsidTr="008853CB">
        <w:tc>
          <w:tcPr>
            <w:tcW w:w="6660" w:type="dxa"/>
            <w:tcBorders>
              <w:top w:val="single" w:sz="4" w:space="0" w:color="auto"/>
              <w:bottom w:val="single" w:sz="4" w:space="0" w:color="auto"/>
              <w:right w:val="single" w:sz="2" w:space="0" w:color="auto"/>
            </w:tcBorders>
          </w:tcPr>
          <w:p w:rsidR="001404F3" w:rsidRPr="00951C9A" w:rsidRDefault="001404F3" w:rsidP="008853CB">
            <w:pPr>
              <w:rPr>
                <w:rFonts w:ascii="Calibri" w:hAnsi="Calibri" w:cs="Arial"/>
                <w:sz w:val="22"/>
                <w:szCs w:val="22"/>
              </w:rPr>
            </w:pPr>
            <w:r w:rsidRPr="00951C9A">
              <w:rPr>
                <w:rStyle w:val="Strong"/>
                <w:rFonts w:ascii="Calibri" w:hAnsi="Calibri"/>
                <w:sz w:val="22"/>
                <w:szCs w:val="22"/>
              </w:rPr>
              <w:t>C4 Houses in multiple occupation</w:t>
            </w:r>
          </w:p>
        </w:tc>
        <w:tc>
          <w:tcPr>
            <w:tcW w:w="1769" w:type="dxa"/>
            <w:tcBorders>
              <w:top w:val="single" w:sz="4" w:space="0" w:color="auto"/>
              <w:left w:val="single" w:sz="2" w:space="0" w:color="auto"/>
              <w:bottom w:val="single" w:sz="4" w:space="0" w:color="auto"/>
            </w:tcBorders>
          </w:tcPr>
          <w:p w:rsidR="001404F3" w:rsidRPr="00CB0A9E" w:rsidRDefault="001404F3" w:rsidP="008853CB">
            <w:pPr>
              <w:jc w:val="center"/>
              <w:rPr>
                <w:rFonts w:ascii="Calibri" w:hAnsi="Calibri" w:cs="Arial"/>
                <w:sz w:val="22"/>
                <w:szCs w:val="22"/>
              </w:rPr>
            </w:pPr>
            <w:r w:rsidRPr="00CB0A9E">
              <w:rPr>
                <w:rFonts w:ascii="Calibri" w:hAnsi="Calibri" w:cs="Arial"/>
                <w:sz w:val="22"/>
                <w:szCs w:val="22"/>
              </w:rPr>
              <w:t>£200</w:t>
            </w:r>
          </w:p>
        </w:tc>
      </w:tr>
      <w:tr w:rsidR="001404F3" w:rsidRPr="00085E41" w:rsidTr="008853CB">
        <w:tc>
          <w:tcPr>
            <w:tcW w:w="6660" w:type="dxa"/>
            <w:tcBorders>
              <w:top w:val="single" w:sz="4" w:space="0" w:color="auto"/>
              <w:bottom w:val="single" w:sz="4" w:space="0" w:color="auto"/>
              <w:right w:val="single" w:sz="2" w:space="0" w:color="auto"/>
            </w:tcBorders>
          </w:tcPr>
          <w:p w:rsidR="001404F3" w:rsidRPr="00951C9A" w:rsidRDefault="001404F3" w:rsidP="008853CB">
            <w:pPr>
              <w:rPr>
                <w:rStyle w:val="Strong"/>
                <w:rFonts w:ascii="Calibri" w:hAnsi="Calibri"/>
                <w:b w:val="0"/>
                <w:sz w:val="22"/>
                <w:szCs w:val="22"/>
              </w:rPr>
            </w:pPr>
            <w:r w:rsidRPr="00951C9A">
              <w:rPr>
                <w:rFonts w:ascii="Calibri" w:hAnsi="Calibri" w:cs="Arial"/>
                <w:b/>
                <w:sz w:val="22"/>
                <w:szCs w:val="22"/>
              </w:rPr>
              <w:t>Student accommodation</w:t>
            </w:r>
          </w:p>
        </w:tc>
        <w:tc>
          <w:tcPr>
            <w:tcW w:w="1769" w:type="dxa"/>
            <w:tcBorders>
              <w:top w:val="single" w:sz="4" w:space="0" w:color="auto"/>
              <w:left w:val="single" w:sz="2" w:space="0" w:color="auto"/>
              <w:bottom w:val="single" w:sz="4" w:space="0" w:color="auto"/>
            </w:tcBorders>
          </w:tcPr>
          <w:p w:rsidR="001404F3" w:rsidRPr="00CB0A9E" w:rsidRDefault="001404F3" w:rsidP="008853CB">
            <w:pPr>
              <w:jc w:val="center"/>
              <w:rPr>
                <w:rFonts w:ascii="Calibri" w:hAnsi="Calibri" w:cs="Arial"/>
                <w:sz w:val="22"/>
                <w:szCs w:val="22"/>
              </w:rPr>
            </w:pPr>
            <w:r w:rsidRPr="00CB0A9E">
              <w:rPr>
                <w:rFonts w:ascii="Calibri" w:hAnsi="Calibri" w:cs="Arial"/>
                <w:sz w:val="22"/>
                <w:szCs w:val="22"/>
              </w:rPr>
              <w:t>£200</w:t>
            </w:r>
          </w:p>
        </w:tc>
      </w:tr>
      <w:tr w:rsidR="001404F3" w:rsidRPr="00085E41" w:rsidTr="008853CB">
        <w:tc>
          <w:tcPr>
            <w:tcW w:w="6660" w:type="dxa"/>
            <w:tcBorders>
              <w:top w:val="single" w:sz="4" w:space="0" w:color="auto"/>
              <w:bottom w:val="single" w:sz="4" w:space="0" w:color="auto"/>
              <w:right w:val="single" w:sz="2" w:space="0" w:color="auto"/>
            </w:tcBorders>
          </w:tcPr>
          <w:p w:rsidR="001404F3" w:rsidRPr="00951C9A" w:rsidRDefault="001404F3" w:rsidP="008853CB">
            <w:pPr>
              <w:rPr>
                <w:rFonts w:ascii="Calibri" w:hAnsi="Calibri" w:cs="Arial"/>
                <w:sz w:val="22"/>
                <w:szCs w:val="22"/>
              </w:rPr>
            </w:pPr>
            <w:r w:rsidRPr="00951C9A">
              <w:rPr>
                <w:rStyle w:val="Strong"/>
                <w:rFonts w:ascii="Calibri" w:hAnsi="Calibri"/>
                <w:sz w:val="22"/>
                <w:szCs w:val="22"/>
              </w:rPr>
              <w:t>D1 Non-residential institutions</w:t>
            </w:r>
          </w:p>
        </w:tc>
        <w:tc>
          <w:tcPr>
            <w:tcW w:w="1769" w:type="dxa"/>
            <w:tcBorders>
              <w:top w:val="single" w:sz="4" w:space="0" w:color="auto"/>
              <w:left w:val="single" w:sz="2" w:space="0" w:color="auto"/>
              <w:bottom w:val="single" w:sz="4" w:space="0" w:color="auto"/>
            </w:tcBorders>
          </w:tcPr>
          <w:p w:rsidR="001404F3" w:rsidRPr="00CB0A9E" w:rsidRDefault="001404F3" w:rsidP="008853CB">
            <w:pPr>
              <w:jc w:val="center"/>
              <w:rPr>
                <w:rFonts w:ascii="Calibri" w:hAnsi="Calibri" w:cs="Arial"/>
                <w:sz w:val="22"/>
                <w:szCs w:val="22"/>
              </w:rPr>
            </w:pPr>
            <w:r w:rsidRPr="00CB0A9E">
              <w:rPr>
                <w:rFonts w:ascii="Calibri" w:hAnsi="Calibri" w:cs="Arial"/>
                <w:sz w:val="22"/>
                <w:szCs w:val="22"/>
              </w:rPr>
              <w:t>£50</w:t>
            </w:r>
          </w:p>
        </w:tc>
      </w:tr>
      <w:tr w:rsidR="001404F3" w:rsidRPr="00085E41" w:rsidTr="008853CB">
        <w:tc>
          <w:tcPr>
            <w:tcW w:w="6660" w:type="dxa"/>
            <w:tcBorders>
              <w:top w:val="single" w:sz="4" w:space="0" w:color="auto"/>
              <w:bottom w:val="single" w:sz="4" w:space="0" w:color="auto"/>
              <w:right w:val="single" w:sz="2" w:space="0" w:color="auto"/>
            </w:tcBorders>
          </w:tcPr>
          <w:p w:rsidR="001404F3" w:rsidRPr="00951C9A" w:rsidRDefault="001404F3" w:rsidP="008853CB">
            <w:pPr>
              <w:rPr>
                <w:rFonts w:ascii="Calibri" w:hAnsi="Calibri" w:cs="Arial"/>
                <w:sz w:val="22"/>
                <w:szCs w:val="22"/>
              </w:rPr>
            </w:pPr>
            <w:r w:rsidRPr="00951C9A">
              <w:rPr>
                <w:rStyle w:val="Strong"/>
                <w:rFonts w:ascii="Calibri" w:hAnsi="Calibri"/>
                <w:sz w:val="22"/>
                <w:szCs w:val="22"/>
              </w:rPr>
              <w:t>D2 Assembly and leisure</w:t>
            </w:r>
          </w:p>
        </w:tc>
        <w:tc>
          <w:tcPr>
            <w:tcW w:w="1769" w:type="dxa"/>
            <w:tcBorders>
              <w:top w:val="single" w:sz="4" w:space="0" w:color="auto"/>
              <w:left w:val="single" w:sz="2" w:space="0" w:color="auto"/>
              <w:bottom w:val="single" w:sz="4" w:space="0" w:color="auto"/>
            </w:tcBorders>
          </w:tcPr>
          <w:p w:rsidR="001404F3" w:rsidRPr="00CB0A9E" w:rsidRDefault="001404F3" w:rsidP="008853CB">
            <w:pPr>
              <w:jc w:val="center"/>
              <w:rPr>
                <w:rFonts w:ascii="Calibri" w:hAnsi="Calibri" w:cs="Arial"/>
                <w:sz w:val="22"/>
                <w:szCs w:val="22"/>
              </w:rPr>
            </w:pPr>
            <w:r w:rsidRPr="00CB0A9E">
              <w:rPr>
                <w:rFonts w:ascii="Calibri" w:hAnsi="Calibri" w:cs="Arial"/>
                <w:sz w:val="22"/>
                <w:szCs w:val="22"/>
              </w:rPr>
              <w:t>£50</w:t>
            </w:r>
          </w:p>
        </w:tc>
      </w:tr>
      <w:tr w:rsidR="001404F3" w:rsidRPr="00085E41" w:rsidTr="008853CB">
        <w:tc>
          <w:tcPr>
            <w:tcW w:w="6660" w:type="dxa"/>
            <w:tcBorders>
              <w:top w:val="single" w:sz="4" w:space="0" w:color="auto"/>
              <w:bottom w:val="single" w:sz="12" w:space="0" w:color="auto"/>
              <w:right w:val="single" w:sz="2" w:space="0" w:color="auto"/>
            </w:tcBorders>
          </w:tcPr>
          <w:p w:rsidR="001404F3" w:rsidRPr="00951C9A" w:rsidRDefault="001404F3" w:rsidP="008853CB">
            <w:pPr>
              <w:rPr>
                <w:rFonts w:ascii="Calibri" w:hAnsi="Calibri" w:cs="Arial"/>
                <w:b/>
                <w:sz w:val="22"/>
                <w:szCs w:val="22"/>
              </w:rPr>
            </w:pPr>
            <w:r w:rsidRPr="00951C9A">
              <w:rPr>
                <w:rFonts w:ascii="Calibri" w:hAnsi="Calibri" w:cs="ArialMT"/>
                <w:b/>
                <w:sz w:val="22"/>
                <w:szCs w:val="22"/>
              </w:rPr>
              <w:t>All development types unless stated otherwise in this table</w:t>
            </w:r>
          </w:p>
        </w:tc>
        <w:tc>
          <w:tcPr>
            <w:tcW w:w="1769" w:type="dxa"/>
            <w:tcBorders>
              <w:top w:val="single" w:sz="4" w:space="0" w:color="auto"/>
              <w:left w:val="single" w:sz="2" w:space="0" w:color="auto"/>
              <w:bottom w:val="single" w:sz="12" w:space="0" w:color="auto"/>
            </w:tcBorders>
          </w:tcPr>
          <w:p w:rsidR="001404F3" w:rsidRPr="00A85ACF" w:rsidRDefault="001404F3" w:rsidP="008853CB">
            <w:pPr>
              <w:jc w:val="center"/>
              <w:rPr>
                <w:rFonts w:ascii="Calibri" w:hAnsi="Calibri" w:cs="Arial"/>
                <w:sz w:val="22"/>
                <w:szCs w:val="22"/>
                <w:highlight w:val="yellow"/>
              </w:rPr>
            </w:pPr>
            <w:r w:rsidRPr="00CB0A9E">
              <w:rPr>
                <w:rFonts w:ascii="Calibri" w:hAnsi="Calibri" w:cs="Arial"/>
                <w:sz w:val="22"/>
                <w:szCs w:val="22"/>
              </w:rPr>
              <w:t>£50 standard</w:t>
            </w:r>
            <w:r w:rsidRPr="002B2CFD">
              <w:rPr>
                <w:rFonts w:ascii="Calibri" w:hAnsi="Calibri" w:cs="Arial"/>
                <w:sz w:val="22"/>
                <w:szCs w:val="22"/>
              </w:rPr>
              <w:t xml:space="preserve"> charge</w:t>
            </w:r>
          </w:p>
        </w:tc>
      </w:tr>
      <w:tr w:rsidR="001404F3" w:rsidRPr="00667A91" w:rsidTr="008853CB">
        <w:tc>
          <w:tcPr>
            <w:tcW w:w="8429" w:type="dxa"/>
            <w:gridSpan w:val="2"/>
            <w:tcBorders>
              <w:top w:val="single" w:sz="12" w:space="0" w:color="auto"/>
              <w:bottom w:val="single" w:sz="12" w:space="0" w:color="auto"/>
            </w:tcBorders>
          </w:tcPr>
          <w:p w:rsidR="001404F3" w:rsidRPr="00667A91" w:rsidRDefault="001404F3" w:rsidP="008853CB">
            <w:pPr>
              <w:rPr>
                <w:rFonts w:ascii="Calibri" w:hAnsi="Calibri" w:cs="Arial"/>
                <w:sz w:val="22"/>
                <w:szCs w:val="22"/>
              </w:rPr>
            </w:pPr>
            <w:r w:rsidRPr="00667A91">
              <w:rPr>
                <w:rFonts w:ascii="Calibri" w:hAnsi="Calibri" w:cs="Arial"/>
                <w:b/>
                <w:sz w:val="22"/>
                <w:szCs w:val="22"/>
              </w:rPr>
              <w:t xml:space="preserve">C3 </w:t>
            </w:r>
            <w:r w:rsidRPr="00667A91">
              <w:rPr>
                <w:rFonts w:ascii="Calibri" w:hAnsi="Calibri" w:cs="Arial"/>
                <w:sz w:val="22"/>
                <w:szCs w:val="22"/>
              </w:rPr>
              <w:t>includes self contained sheltered accommodation</w:t>
            </w:r>
            <w:r>
              <w:rPr>
                <w:rFonts w:ascii="Calibri" w:hAnsi="Calibri" w:cs="Arial"/>
                <w:sz w:val="22"/>
                <w:szCs w:val="22"/>
              </w:rPr>
              <w:t xml:space="preserve"> and self-contained graduate accommodation</w:t>
            </w:r>
          </w:p>
          <w:p w:rsidR="001404F3" w:rsidRPr="00667A91" w:rsidRDefault="001404F3" w:rsidP="008853CB">
            <w:pPr>
              <w:rPr>
                <w:rFonts w:ascii="Calibri" w:hAnsi="Calibri" w:cs="Arial"/>
                <w:sz w:val="22"/>
                <w:szCs w:val="22"/>
              </w:rPr>
            </w:pPr>
          </w:p>
        </w:tc>
      </w:tr>
    </w:tbl>
    <w:p w:rsidR="00B728FC" w:rsidRDefault="00B728FC" w:rsidP="008F101A">
      <w:pPr>
        <w:pStyle w:val="bParagraphtext"/>
        <w:numPr>
          <w:ilvl w:val="0"/>
          <w:numId w:val="0"/>
        </w:numPr>
        <w:spacing w:before="240"/>
        <w:ind w:left="360" w:hanging="360"/>
        <w:outlineLvl w:val="0"/>
        <w:rPr>
          <w:b/>
          <w:color w:val="auto"/>
        </w:rPr>
      </w:pPr>
      <w:r w:rsidRPr="00FA0C3F">
        <w:rPr>
          <w:b/>
          <w:color w:val="auto"/>
        </w:rPr>
        <w:t>Exceptional Circumstances Relief</w:t>
      </w:r>
    </w:p>
    <w:p w:rsidR="00B728FC" w:rsidRPr="004D52B6" w:rsidRDefault="00B728FC" w:rsidP="00FA0C3F">
      <w:pPr>
        <w:pStyle w:val="ListParagraph"/>
      </w:pPr>
      <w:r>
        <w:t xml:space="preserve">The regulations allow for charging authorities to have an Exceptional Circumstances Relief Policy so that they </w:t>
      </w:r>
      <w:r w:rsidRPr="004D52B6">
        <w:t>may offer relief from the levy in exceptional circumstances where a specific scheme cannot afford to pay the levy.</w:t>
      </w:r>
      <w:r>
        <w:t xml:space="preserve"> </w:t>
      </w:r>
      <w:r w:rsidRPr="004D52B6">
        <w:t>A charging authority can then consider claims for relief on chargeable developments from landowners on a case by case basis, provided the conditions set out in </w:t>
      </w:r>
      <w:hyperlink r:id="rId9" w:history="1">
        <w:r w:rsidRPr="004D52B6">
          <w:t>regulation 55</w:t>
        </w:r>
      </w:hyperlink>
      <w:r w:rsidRPr="004D52B6">
        <w:t> (as amended</w:t>
      </w:r>
      <w:r w:rsidR="00E72A47">
        <w:t>)</w:t>
      </w:r>
      <w:r w:rsidRPr="004D52B6">
        <w:t xml:space="preserve"> are met:</w:t>
      </w:r>
    </w:p>
    <w:p w:rsidR="00B728FC" w:rsidRPr="004D52B6" w:rsidRDefault="00B728FC" w:rsidP="00B728FC">
      <w:pPr>
        <w:numPr>
          <w:ilvl w:val="0"/>
          <w:numId w:val="49"/>
        </w:numPr>
        <w:shd w:val="clear" w:color="auto" w:fill="FFFFFF"/>
        <w:spacing w:after="75"/>
        <w:ind w:left="709"/>
        <w:rPr>
          <w:color w:val="auto"/>
        </w:rPr>
      </w:pPr>
      <w:r w:rsidRPr="004D52B6">
        <w:rPr>
          <w:color w:val="auto"/>
        </w:rPr>
        <w:t>a section 106 agreement must exist on the planning permission permitting the chargeable development and</w:t>
      </w:r>
    </w:p>
    <w:p w:rsidR="00B728FC" w:rsidRPr="004D52B6" w:rsidRDefault="00B728FC" w:rsidP="00B728FC">
      <w:pPr>
        <w:numPr>
          <w:ilvl w:val="0"/>
          <w:numId w:val="49"/>
        </w:numPr>
        <w:shd w:val="clear" w:color="auto" w:fill="FFFFFF"/>
        <w:spacing w:after="75"/>
        <w:ind w:left="709"/>
        <w:rPr>
          <w:color w:val="auto"/>
        </w:rPr>
      </w:pPr>
      <w:r w:rsidRPr="004D52B6">
        <w:rPr>
          <w:color w:val="auto"/>
        </w:rPr>
        <w:t>the charging authority must consider that paying the full levy would have an unacceptable impact on the development’s economic viability and</w:t>
      </w:r>
    </w:p>
    <w:p w:rsidR="00B728FC" w:rsidRPr="004D52B6" w:rsidRDefault="00B728FC" w:rsidP="00B728FC">
      <w:pPr>
        <w:numPr>
          <w:ilvl w:val="0"/>
          <w:numId w:val="49"/>
        </w:numPr>
        <w:shd w:val="clear" w:color="auto" w:fill="FFFFFF"/>
        <w:spacing w:after="0"/>
        <w:ind w:left="709"/>
        <w:rPr>
          <w:color w:val="auto"/>
        </w:rPr>
      </w:pPr>
      <w:r w:rsidRPr="004D52B6">
        <w:rPr>
          <w:color w:val="auto"/>
        </w:rPr>
        <w:t>the relief must not constitute a notifiable </w:t>
      </w:r>
      <w:hyperlink r:id="rId10" w:anchor="state-aid-section" w:history="1">
        <w:r w:rsidRPr="004D52B6">
          <w:rPr>
            <w:color w:val="auto"/>
          </w:rPr>
          <w:t>state aid</w:t>
        </w:r>
      </w:hyperlink>
    </w:p>
    <w:p w:rsidR="00B728FC" w:rsidRDefault="00B728FC" w:rsidP="00FA0C3F">
      <w:pPr>
        <w:pStyle w:val="bParagraphtext"/>
        <w:spacing w:before="240"/>
        <w:outlineLvl w:val="0"/>
        <w:rPr>
          <w:color w:val="auto"/>
        </w:rPr>
      </w:pPr>
      <w:r>
        <w:rPr>
          <w:color w:val="auto"/>
        </w:rPr>
        <w:lastRenderedPageBreak/>
        <w:t xml:space="preserve">It is proposed to introduce this policy now so that it </w:t>
      </w:r>
      <w:r w:rsidR="00931365">
        <w:rPr>
          <w:color w:val="auto"/>
        </w:rPr>
        <w:t>c</w:t>
      </w:r>
      <w:r>
        <w:rPr>
          <w:color w:val="auto"/>
        </w:rPr>
        <w:t xml:space="preserve">an apply under the current and future charging schedules.  </w:t>
      </w:r>
    </w:p>
    <w:p w:rsidR="00931365" w:rsidRPr="008576AA" w:rsidRDefault="00931365" w:rsidP="00FA0C3F">
      <w:pPr>
        <w:pStyle w:val="bParagraphtext"/>
        <w:spacing w:before="240"/>
        <w:outlineLvl w:val="0"/>
        <w:rPr>
          <w:color w:val="auto"/>
        </w:rPr>
      </w:pPr>
      <w:r>
        <w:rPr>
          <w:color w:val="auto"/>
        </w:rPr>
        <w:t xml:space="preserve">Therefore, if in the future the exceptional circumstances set out above are met by a site the council could use this discretionary policy. The current charging schedule includes use classes that have been identified by the emerging schedule not to be viable to have a CIL charge and therefore it is appropriate to introduce the discretionary exceptional circumstances relief immediately. </w:t>
      </w:r>
    </w:p>
    <w:p w:rsidR="002C5B6C" w:rsidRDefault="00B728FC" w:rsidP="003A0724">
      <w:pPr>
        <w:pStyle w:val="bParagraphtext"/>
        <w:spacing w:before="240"/>
        <w:outlineLvl w:val="0"/>
        <w:rPr>
          <w:color w:val="auto"/>
        </w:rPr>
      </w:pPr>
      <w:r>
        <w:rPr>
          <w:color w:val="auto"/>
        </w:rPr>
        <w:t xml:space="preserve">It is important to note that </w:t>
      </w:r>
      <w:r w:rsidR="00B0317E">
        <w:rPr>
          <w:color w:val="auto"/>
        </w:rPr>
        <w:t>the Council’s</w:t>
      </w:r>
      <w:r>
        <w:rPr>
          <w:color w:val="auto"/>
        </w:rPr>
        <w:t xml:space="preserve"> viability evidence for the new </w:t>
      </w:r>
      <w:r w:rsidR="0082043F">
        <w:rPr>
          <w:color w:val="auto"/>
        </w:rPr>
        <w:t>CIL Charging S</w:t>
      </w:r>
      <w:r>
        <w:rPr>
          <w:color w:val="auto"/>
        </w:rPr>
        <w:t xml:space="preserve">chedule indicates that the majority of sites </w:t>
      </w:r>
      <w:r w:rsidR="0082043F">
        <w:rPr>
          <w:color w:val="auto"/>
        </w:rPr>
        <w:t>will</w:t>
      </w:r>
      <w:r>
        <w:rPr>
          <w:color w:val="auto"/>
        </w:rPr>
        <w:t xml:space="preserve"> be viable and therefore </w:t>
      </w:r>
      <w:r w:rsidR="00B0317E">
        <w:rPr>
          <w:color w:val="auto"/>
        </w:rPr>
        <w:t xml:space="preserve">the </w:t>
      </w:r>
      <w:proofErr w:type="gramStart"/>
      <w:r w:rsidR="00B0317E">
        <w:rPr>
          <w:color w:val="auto"/>
        </w:rPr>
        <w:t xml:space="preserve">Council </w:t>
      </w:r>
      <w:r>
        <w:rPr>
          <w:color w:val="auto"/>
        </w:rPr>
        <w:t xml:space="preserve"> do</w:t>
      </w:r>
      <w:r w:rsidR="00B0317E">
        <w:rPr>
          <w:color w:val="auto"/>
        </w:rPr>
        <w:t>es</w:t>
      </w:r>
      <w:proofErr w:type="gramEnd"/>
      <w:r>
        <w:rPr>
          <w:color w:val="auto"/>
        </w:rPr>
        <w:t xml:space="preserve"> not expect many</w:t>
      </w:r>
      <w:r w:rsidR="0082043F">
        <w:rPr>
          <w:color w:val="auto"/>
        </w:rPr>
        <w:t>,</w:t>
      </w:r>
      <w:r>
        <w:rPr>
          <w:color w:val="auto"/>
        </w:rPr>
        <w:t xml:space="preserve"> if any</w:t>
      </w:r>
      <w:r w:rsidR="0082043F">
        <w:rPr>
          <w:color w:val="auto"/>
        </w:rPr>
        <w:t xml:space="preserve">, </w:t>
      </w:r>
      <w:r>
        <w:rPr>
          <w:color w:val="auto"/>
        </w:rPr>
        <w:t xml:space="preserve">sites to be able to demonstrate </w:t>
      </w:r>
      <w:r w:rsidR="0082043F">
        <w:rPr>
          <w:color w:val="auto"/>
        </w:rPr>
        <w:t xml:space="preserve">the requirements of the </w:t>
      </w:r>
      <w:r w:rsidR="009D0799">
        <w:rPr>
          <w:color w:val="auto"/>
        </w:rPr>
        <w:t>policy</w:t>
      </w:r>
      <w:r w:rsidR="0082043F">
        <w:rPr>
          <w:color w:val="auto"/>
        </w:rPr>
        <w:t>. However</w:t>
      </w:r>
      <w:proofErr w:type="gramStart"/>
      <w:r w:rsidR="0082043F">
        <w:rPr>
          <w:color w:val="auto"/>
        </w:rPr>
        <w:t xml:space="preserve">, </w:t>
      </w:r>
      <w:r w:rsidR="00922837">
        <w:rPr>
          <w:color w:val="auto"/>
        </w:rPr>
        <w:t xml:space="preserve"> </w:t>
      </w:r>
      <w:r w:rsidR="0082043F">
        <w:rPr>
          <w:color w:val="auto"/>
        </w:rPr>
        <w:t>on</w:t>
      </w:r>
      <w:proofErr w:type="gramEnd"/>
      <w:r>
        <w:rPr>
          <w:color w:val="auto"/>
        </w:rPr>
        <w:t xml:space="preserve"> </w:t>
      </w:r>
      <w:r w:rsidR="007471E5">
        <w:rPr>
          <w:color w:val="auto"/>
        </w:rPr>
        <w:t xml:space="preserve">the </w:t>
      </w:r>
      <w:r>
        <w:rPr>
          <w:color w:val="auto"/>
        </w:rPr>
        <w:t>complex brownfield strategic sites</w:t>
      </w:r>
      <w:r w:rsidR="007471E5">
        <w:rPr>
          <w:color w:val="auto"/>
        </w:rPr>
        <w:t xml:space="preserve"> in the city, </w:t>
      </w:r>
      <w:r w:rsidR="00922837">
        <w:rPr>
          <w:color w:val="auto"/>
        </w:rPr>
        <w:t xml:space="preserve"> there may be exceptional mitigation measures or infrastructure costs  which may </w:t>
      </w:r>
      <w:r>
        <w:rPr>
          <w:color w:val="auto"/>
        </w:rPr>
        <w:t xml:space="preserve"> </w:t>
      </w:r>
      <w:r w:rsidR="00922837">
        <w:rPr>
          <w:color w:val="auto"/>
        </w:rPr>
        <w:t>result in</w:t>
      </w:r>
      <w:r w:rsidR="007471E5">
        <w:rPr>
          <w:color w:val="auto"/>
        </w:rPr>
        <w:t xml:space="preserve"> the sites not being viable.  These sites would be dealt with on a case by case basis.</w:t>
      </w:r>
      <w:r>
        <w:rPr>
          <w:color w:val="auto"/>
        </w:rPr>
        <w:t xml:space="preserve">  </w:t>
      </w:r>
      <w:r w:rsidR="009D0799">
        <w:rPr>
          <w:color w:val="auto"/>
        </w:rPr>
        <w:t xml:space="preserve"> </w:t>
      </w:r>
    </w:p>
    <w:p w:rsidR="00A42471" w:rsidRPr="008576AA" w:rsidRDefault="00FB6E31" w:rsidP="009018C3">
      <w:pPr>
        <w:pStyle w:val="bParagraphtext"/>
      </w:pPr>
      <w:r>
        <w:t xml:space="preserve">The draft policy is set out at Appendix 6 of this report. </w:t>
      </w:r>
      <w:r w:rsidR="00931365">
        <w:t xml:space="preserve">Decisions under this policy will be delegated to the Head of Planning after consultation with </w:t>
      </w:r>
      <w:r w:rsidR="009018C3" w:rsidRPr="009018C3">
        <w:rPr>
          <w:color w:val="auto"/>
        </w:rPr>
        <w:t>the Planning and Transport portfolio holder</w:t>
      </w:r>
      <w:r w:rsidR="00931365">
        <w:t>.</w:t>
      </w:r>
      <w:r w:rsidR="00A42471">
        <w:t xml:space="preserve"> It </w:t>
      </w:r>
      <w:r w:rsidR="00160D2E">
        <w:t>is important</w:t>
      </w:r>
      <w:r w:rsidR="00A42471">
        <w:t xml:space="preserve"> to note that, as set out in the constitution</w:t>
      </w:r>
      <w:r w:rsidR="00A42471" w:rsidRPr="00A42471">
        <w:t xml:space="preserve">, while </w:t>
      </w:r>
      <w:r w:rsidR="00A42471" w:rsidRPr="008576AA">
        <w:t>CEB</w:t>
      </w:r>
      <w:r w:rsidR="006674E0">
        <w:t xml:space="preserve"> may</w:t>
      </w:r>
      <w:r w:rsidR="00A42471" w:rsidRPr="008576AA">
        <w:t xml:space="preserve"> delegate some of </w:t>
      </w:r>
      <w:r w:rsidR="00B0317E">
        <w:t>its</w:t>
      </w:r>
      <w:r w:rsidR="00A42471" w:rsidRPr="008576AA">
        <w:t xml:space="preserve"> responsibilities to committees, single members and officers CEB can at any time take back </w:t>
      </w:r>
      <w:r w:rsidR="006674E0">
        <w:t xml:space="preserve">any </w:t>
      </w:r>
      <w:r w:rsidR="00A42471" w:rsidRPr="008576AA">
        <w:t xml:space="preserve">responsibilities </w:t>
      </w:r>
      <w:r w:rsidR="006674E0">
        <w:t>i</w:t>
      </w:r>
      <w:r w:rsidR="00A42471" w:rsidRPr="008576AA">
        <w:t>t</w:t>
      </w:r>
      <w:r w:rsidR="009018C3">
        <w:t xml:space="preserve"> </w:t>
      </w:r>
      <w:r w:rsidR="00A42471" w:rsidRPr="008576AA">
        <w:t>ha</w:t>
      </w:r>
      <w:r w:rsidR="006674E0">
        <w:t>s</w:t>
      </w:r>
      <w:r w:rsidR="00A42471" w:rsidRPr="008576AA">
        <w:t xml:space="preserve"> delegated and officers do not have to use their delegated powers: they can ask the body that delegated to them to </w:t>
      </w:r>
      <w:r w:rsidR="006674E0">
        <w:t>take the decision</w:t>
      </w:r>
      <w:r w:rsidR="00A42471" w:rsidRPr="008576AA">
        <w:t>. Therefore, if there was a situation where after the consultation with the portfolio holder if was felt that it should</w:t>
      </w:r>
      <w:r w:rsidR="00E72A47">
        <w:t xml:space="preserve"> be</w:t>
      </w:r>
      <w:r w:rsidR="00A42471" w:rsidRPr="008576AA">
        <w:t xml:space="preserve"> decided by CEB it could be referred to CEB for decision.  </w:t>
      </w:r>
    </w:p>
    <w:p w:rsidR="00BE4F79" w:rsidRPr="00DB71AE" w:rsidRDefault="009B11F0" w:rsidP="009B11F0">
      <w:pPr>
        <w:pStyle w:val="bParagraphtext"/>
        <w:rPr>
          <w:b/>
          <w:color w:val="FF0000"/>
        </w:rPr>
      </w:pPr>
      <w:r>
        <w:t xml:space="preserve">In order to introduce this </w:t>
      </w:r>
      <w:r w:rsidR="005B3EB9">
        <w:t xml:space="preserve">policy </w:t>
      </w:r>
      <w:r w:rsidR="006674E0">
        <w:t>the Council</w:t>
      </w:r>
      <w:r>
        <w:t xml:space="preserve"> will be required to publish a statement on </w:t>
      </w:r>
      <w:r w:rsidR="006674E0">
        <w:t>its</w:t>
      </w:r>
      <w:r>
        <w:t xml:space="preserve"> website and make it available for inspection at </w:t>
      </w:r>
      <w:r w:rsidR="006674E0">
        <w:t>its</w:t>
      </w:r>
      <w:r>
        <w:t xml:space="preserve"> princip</w:t>
      </w:r>
      <w:r w:rsidR="006674E0">
        <w:t>a</w:t>
      </w:r>
      <w:r>
        <w:t xml:space="preserve">l office and such other places within </w:t>
      </w:r>
      <w:r w:rsidR="006674E0">
        <w:t>its</w:t>
      </w:r>
      <w:r>
        <w:t xml:space="preserve"> area </w:t>
      </w:r>
      <w:r w:rsidR="006674E0">
        <w:t>it</w:t>
      </w:r>
      <w:r>
        <w:t xml:space="preserve"> consider</w:t>
      </w:r>
      <w:r w:rsidR="006674E0">
        <w:t>s</w:t>
      </w:r>
      <w:r>
        <w:t xml:space="preserve"> appropriate (</w:t>
      </w:r>
      <w:r w:rsidR="005B3EB9">
        <w:t>a</w:t>
      </w:r>
      <w:r w:rsidRPr="009B11F0">
        <w:t>s per regulations 56 of the Regulations</w:t>
      </w:r>
      <w:r>
        <w:t xml:space="preserve">). </w:t>
      </w:r>
    </w:p>
    <w:p w:rsidR="00846F8E" w:rsidRPr="00DB71AE" w:rsidRDefault="00846F8E" w:rsidP="00DB71AE">
      <w:pPr>
        <w:ind w:left="360" w:hanging="360"/>
        <w:rPr>
          <w:rStyle w:val="Firstpagetablebold"/>
          <w:b w:val="0"/>
        </w:rPr>
      </w:pPr>
      <w:r w:rsidRPr="00DB71AE">
        <w:rPr>
          <w:b/>
        </w:rPr>
        <w:t>Financial implications</w:t>
      </w:r>
    </w:p>
    <w:p w:rsidR="00846F8E" w:rsidRDefault="00162FEF" w:rsidP="00846F8E">
      <w:pPr>
        <w:pStyle w:val="bParagraphtext"/>
      </w:pPr>
      <w:r>
        <w:t>The rate at which the CIL tariff is ultimately set will determine the amount of income received by the Council from new development</w:t>
      </w:r>
      <w:r w:rsidR="003305A2">
        <w:t xml:space="preserve"> to be spent on infrastructure</w:t>
      </w:r>
      <w:r w:rsidR="00723EC2">
        <w:t>,</w:t>
      </w:r>
      <w:r w:rsidR="003305A2">
        <w:t xml:space="preserve"> which could include capital projects.</w:t>
      </w:r>
    </w:p>
    <w:p w:rsidR="00931365" w:rsidRDefault="00723EC2" w:rsidP="00723EC2">
      <w:pPr>
        <w:pStyle w:val="ListParagraph"/>
      </w:pPr>
      <w:r w:rsidRPr="007B4DDB">
        <w:t xml:space="preserve">Over the previous years </w:t>
      </w:r>
      <w:r w:rsidR="006674E0">
        <w:t xml:space="preserve">the Council </w:t>
      </w:r>
      <w:r w:rsidRPr="007B4DDB">
        <w:t>ha</w:t>
      </w:r>
      <w:r w:rsidR="006674E0">
        <w:t>s</w:t>
      </w:r>
      <w:r w:rsidRPr="007B4DDB">
        <w:t xml:space="preserve"> not had applications for B2/B8 units</w:t>
      </w:r>
      <w:r w:rsidR="00730B9C">
        <w:t>;</w:t>
      </w:r>
      <w:r w:rsidRPr="007B4DDB">
        <w:t xml:space="preserve"> therefore, the zero </w:t>
      </w:r>
      <w:r w:rsidR="003A0724" w:rsidRPr="007B4DDB">
        <w:t>rates</w:t>
      </w:r>
      <w:r w:rsidRPr="007B4DDB">
        <w:t xml:space="preserve"> suggested for these developments will not have a detrimental effect on CIL funds. </w:t>
      </w:r>
    </w:p>
    <w:p w:rsidR="00723EC2" w:rsidRDefault="00931365" w:rsidP="00723EC2">
      <w:pPr>
        <w:pStyle w:val="ListParagraph"/>
      </w:pPr>
      <w:r>
        <w:t>The financial implications of the exceptional circumstances relief will be considered as part of the implementation of the policy on a case by case basis as part o</w:t>
      </w:r>
      <w:r w:rsidR="006674E0">
        <w:t>f</w:t>
      </w:r>
      <w:r>
        <w:t xml:space="preserve"> the viability considerations.</w:t>
      </w:r>
    </w:p>
    <w:p w:rsidR="00846F8E" w:rsidRPr="00042271" w:rsidRDefault="00846F8E" w:rsidP="00042271">
      <w:pPr>
        <w:pStyle w:val="bParagraphtext"/>
        <w:numPr>
          <w:ilvl w:val="0"/>
          <w:numId w:val="0"/>
        </w:numPr>
        <w:rPr>
          <w:b/>
        </w:rPr>
      </w:pPr>
      <w:r w:rsidRPr="00042271">
        <w:rPr>
          <w:b/>
        </w:rPr>
        <w:t xml:space="preserve">Legal </w:t>
      </w:r>
      <w:r w:rsidRPr="00042271">
        <w:rPr>
          <w:b/>
          <w:color w:val="auto"/>
        </w:rPr>
        <w:t>issues</w:t>
      </w:r>
    </w:p>
    <w:p w:rsidR="00846F8E" w:rsidRPr="007B4DDB" w:rsidRDefault="00BD2517" w:rsidP="00890B6C">
      <w:pPr>
        <w:pStyle w:val="bParagraphtext"/>
        <w:rPr>
          <w:color w:val="auto"/>
        </w:rPr>
      </w:pPr>
      <w:r w:rsidRPr="00042271">
        <w:rPr>
          <w:shd w:val="clear" w:color="auto" w:fill="FFFFFF"/>
        </w:rPr>
        <w:t xml:space="preserve">The government </w:t>
      </w:r>
      <w:r w:rsidR="003B2FD8">
        <w:rPr>
          <w:shd w:val="clear" w:color="auto" w:fill="FFFFFF"/>
        </w:rPr>
        <w:t xml:space="preserve">has recently carried out a consultation relating to </w:t>
      </w:r>
      <w:r w:rsidR="00890B6C">
        <w:rPr>
          <w:shd w:val="clear" w:color="auto" w:fill="FFFFFF"/>
        </w:rPr>
        <w:t xml:space="preserve">amendments to the </w:t>
      </w:r>
      <w:r w:rsidR="003B2FD8">
        <w:rPr>
          <w:shd w:val="clear" w:color="auto" w:fill="FFFFFF"/>
        </w:rPr>
        <w:t>CIL regulations</w:t>
      </w:r>
      <w:r w:rsidR="00890B6C">
        <w:rPr>
          <w:shd w:val="clear" w:color="auto" w:fill="FFFFFF"/>
        </w:rPr>
        <w:t xml:space="preserve">. </w:t>
      </w:r>
      <w:r w:rsidRPr="00042271">
        <w:rPr>
          <w:shd w:val="clear" w:color="auto" w:fill="FFFFFF"/>
        </w:rPr>
        <w:t xml:space="preserve"> At the time of finalising this report it is unknown </w:t>
      </w:r>
      <w:r w:rsidR="00890B6C">
        <w:rPr>
          <w:shd w:val="clear" w:color="auto" w:fill="FFFFFF"/>
        </w:rPr>
        <w:t xml:space="preserve">what changes will be made </w:t>
      </w:r>
      <w:r w:rsidR="007B4DDB">
        <w:rPr>
          <w:shd w:val="clear" w:color="auto" w:fill="FFFFFF"/>
        </w:rPr>
        <w:t>in</w:t>
      </w:r>
      <w:r w:rsidR="00890B6C">
        <w:rPr>
          <w:shd w:val="clear" w:color="auto" w:fill="FFFFFF"/>
        </w:rPr>
        <w:t xml:space="preserve"> </w:t>
      </w:r>
      <w:r w:rsidRPr="00042271">
        <w:rPr>
          <w:shd w:val="clear" w:color="auto" w:fill="FFFFFF"/>
        </w:rPr>
        <w:t>the approach to contributions and CIL</w:t>
      </w:r>
      <w:r w:rsidR="00890B6C" w:rsidRPr="00890B6C">
        <w:rPr>
          <w:rFonts w:cs="Arial"/>
          <w:color w:val="FF0000"/>
          <w:shd w:val="clear" w:color="auto" w:fill="FFFFFF"/>
        </w:rPr>
        <w:t xml:space="preserve">.  </w:t>
      </w:r>
      <w:r w:rsidR="00890B6C" w:rsidRPr="007B4DDB">
        <w:rPr>
          <w:rFonts w:cs="Arial"/>
          <w:color w:val="auto"/>
          <w:shd w:val="clear" w:color="auto" w:fill="FFFFFF"/>
        </w:rPr>
        <w:t xml:space="preserve">The </w:t>
      </w:r>
      <w:r w:rsidR="007B4DDB" w:rsidRPr="007B4DDB">
        <w:rPr>
          <w:rFonts w:cs="Arial"/>
          <w:color w:val="auto"/>
          <w:shd w:val="clear" w:color="auto" w:fill="FFFFFF"/>
        </w:rPr>
        <w:t>outcome of the consultation should be published shortly and officers will update CEB when</w:t>
      </w:r>
      <w:r w:rsidR="007B4DDB">
        <w:rPr>
          <w:rFonts w:cs="Arial"/>
          <w:color w:val="auto"/>
          <w:shd w:val="clear" w:color="auto" w:fill="FFFFFF"/>
        </w:rPr>
        <w:t xml:space="preserve"> the results are</w:t>
      </w:r>
      <w:r w:rsidR="007B4DDB" w:rsidRPr="007B4DDB">
        <w:rPr>
          <w:rFonts w:cs="Arial"/>
          <w:color w:val="auto"/>
          <w:shd w:val="clear" w:color="auto" w:fill="FFFFFF"/>
        </w:rPr>
        <w:t xml:space="preserve"> known.</w:t>
      </w:r>
    </w:p>
    <w:p w:rsidR="00846F8E" w:rsidRPr="001356F1" w:rsidRDefault="00846F8E" w:rsidP="00846F8E">
      <w:pPr>
        <w:pStyle w:val="Heading1"/>
      </w:pPr>
      <w:r w:rsidRPr="001356F1">
        <w:t xml:space="preserve">Equalities impact </w:t>
      </w:r>
    </w:p>
    <w:p w:rsidR="009833DD" w:rsidRDefault="009833DD" w:rsidP="00846F8E">
      <w:pPr>
        <w:pStyle w:val="bParagraphtext"/>
      </w:pPr>
      <w:r>
        <w:t>T</w:t>
      </w:r>
      <w:r w:rsidRPr="00AB7B72">
        <w:t>here are no equalities impacts arising from this report.</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7F1AD5" w:rsidRDefault="0051392B" w:rsidP="00A46E98">
            <w:pPr>
              <w:rPr>
                <w:color w:val="auto"/>
              </w:rPr>
            </w:pPr>
            <w:r w:rsidRPr="007F1AD5">
              <w:rPr>
                <w:color w:val="auto"/>
              </w:rPr>
              <w:t xml:space="preserve">Carolyn </w:t>
            </w:r>
            <w:proofErr w:type="spellStart"/>
            <w:r w:rsidRPr="007F1AD5">
              <w:rPr>
                <w:color w:val="auto"/>
              </w:rPr>
              <w:t>Ploszynski</w:t>
            </w:r>
            <w:proofErr w:type="spellEnd"/>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7F1AD5" w:rsidRDefault="0051392B" w:rsidP="00A46E98">
            <w:pPr>
              <w:rPr>
                <w:color w:val="auto"/>
              </w:rPr>
            </w:pPr>
            <w:r w:rsidRPr="007F1AD5">
              <w:rPr>
                <w:color w:val="auto"/>
              </w:rPr>
              <w:t>Planning Policy and Design, Conservation and Trees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7F1AD5" w:rsidRDefault="00B62BB2" w:rsidP="007B4DDB">
            <w:pPr>
              <w:rPr>
                <w:color w:val="auto"/>
              </w:rPr>
            </w:pPr>
            <w:r w:rsidRPr="007F1AD5">
              <w:rPr>
                <w:color w:val="auto"/>
              </w:rPr>
              <w:t>Planning</w:t>
            </w:r>
            <w:r w:rsidR="007B4DDB" w:rsidRPr="007F1AD5">
              <w:rPr>
                <w:color w:val="auto"/>
              </w:rPr>
              <w:t xml:space="preserve">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7F1AD5" w:rsidRDefault="00E87F7A" w:rsidP="0051392B">
            <w:pPr>
              <w:rPr>
                <w:color w:val="auto"/>
              </w:rPr>
            </w:pPr>
            <w:r w:rsidRPr="007F1AD5">
              <w:rPr>
                <w:color w:val="auto"/>
              </w:rPr>
              <w:t xml:space="preserve">01865 </w:t>
            </w:r>
            <w:r w:rsidR="00B62BB2" w:rsidRPr="007F1AD5">
              <w:rPr>
                <w:color w:val="auto"/>
              </w:rPr>
              <w:t>252</w:t>
            </w:r>
            <w:r w:rsidR="0051392B" w:rsidRPr="007F1AD5">
              <w:rPr>
                <w:color w:val="auto"/>
              </w:rPr>
              <w:t>821</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7F1AD5" w:rsidRDefault="00307D93" w:rsidP="00307D93">
            <w:pPr>
              <w:rPr>
                <w:rStyle w:val="Hyperlink"/>
                <w:color w:val="auto"/>
              </w:rPr>
            </w:pPr>
            <w:r w:rsidRPr="007F1AD5">
              <w:rPr>
                <w:rStyle w:val="Hyperlink"/>
                <w:color w:val="auto"/>
              </w:rPr>
              <w:t>cploszynski</w:t>
            </w:r>
            <w:r w:rsidR="00B62BB2" w:rsidRPr="007F1AD5">
              <w:rPr>
                <w:rStyle w:val="Hyperlink"/>
                <w:color w:val="auto"/>
              </w:rPr>
              <w:t>@oxford.gov.uk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B62BB2">
            <w:r w:rsidRPr="001356F1">
              <w:rPr>
                <w:rStyle w:val="Firstpagetablebold"/>
              </w:rPr>
              <w:t xml:space="preserve">Background Papers: </w:t>
            </w:r>
          </w:p>
        </w:tc>
      </w:tr>
      <w:tr w:rsidR="00DF093E" w:rsidRPr="001356F1" w:rsidTr="008755E8">
        <w:tc>
          <w:tcPr>
            <w:tcW w:w="567" w:type="dxa"/>
            <w:tcBorders>
              <w:top w:val="single" w:sz="8" w:space="0" w:color="000000"/>
              <w:left w:val="single" w:sz="8" w:space="0" w:color="000000"/>
              <w:bottom w:val="single" w:sz="4" w:space="0" w:color="auto"/>
              <w:right w:val="nil"/>
            </w:tcBorders>
            <w:shd w:val="clear" w:color="auto" w:fill="auto"/>
          </w:tcPr>
          <w:p w:rsidR="0093067A" w:rsidRDefault="00182B81" w:rsidP="00F41AC1">
            <w:r w:rsidRPr="001356F1">
              <w:t>1</w:t>
            </w:r>
            <w:r w:rsidR="006F4CF8">
              <w:t xml:space="preserve"> </w:t>
            </w:r>
          </w:p>
          <w:p w:rsidR="00527522" w:rsidRPr="001356F1" w:rsidRDefault="00527522" w:rsidP="00F41AC1">
            <w:r>
              <w:t>2</w:t>
            </w:r>
          </w:p>
        </w:tc>
        <w:tc>
          <w:tcPr>
            <w:tcW w:w="8364" w:type="dxa"/>
            <w:tcBorders>
              <w:top w:val="single" w:sz="8" w:space="0" w:color="000000"/>
              <w:left w:val="nil"/>
              <w:bottom w:val="single" w:sz="4" w:space="0" w:color="auto"/>
              <w:right w:val="single" w:sz="8" w:space="0" w:color="000000"/>
            </w:tcBorders>
          </w:tcPr>
          <w:p w:rsidR="0093067A" w:rsidRDefault="006F4CF8" w:rsidP="005D0621">
            <w:r w:rsidRPr="007F1AD5">
              <w:t>CIL Charging Schedule</w:t>
            </w:r>
          </w:p>
          <w:p w:rsidR="00527522" w:rsidRPr="00E97F4D" w:rsidRDefault="00527522" w:rsidP="005D0621">
            <w:pPr>
              <w:rPr>
                <w:highlight w:val="yellow"/>
              </w:rPr>
            </w:pPr>
            <w:r w:rsidRPr="005D468B">
              <w:t>Viability Report dated September 2018</w:t>
            </w:r>
          </w:p>
        </w:tc>
      </w:tr>
    </w:tbl>
    <w:p w:rsidR="00EC0B2C" w:rsidRDefault="00EC0B2C" w:rsidP="00C85B4E">
      <w:pPr>
        <w:rPr>
          <w:b/>
        </w:rPr>
      </w:pPr>
    </w:p>
    <w:p w:rsidR="004456DD" w:rsidRPr="009E51FC" w:rsidRDefault="004456DD" w:rsidP="0093067A">
      <w:bookmarkStart w:id="0" w:name="_GoBack"/>
      <w:bookmarkEnd w:id="0"/>
    </w:p>
    <w:sectPr w:rsidR="004456DD" w:rsidRPr="009E51FC"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994D9C" w15:done="0"/>
  <w15:commentEx w15:paraId="4A02A2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D83" w:rsidRDefault="00746D83" w:rsidP="004A6D2F">
      <w:r>
        <w:separator/>
      </w:r>
    </w:p>
  </w:endnote>
  <w:endnote w:type="continuationSeparator" w:id="0">
    <w:p w:rsidR="00746D83" w:rsidRDefault="00746D8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03" w:rsidRDefault="00367003" w:rsidP="004A6D2F">
    <w:pPr>
      <w:pStyle w:val="Footer"/>
    </w:pPr>
    <w:r>
      <w:t>Do not use a footer or page numbers.</w:t>
    </w:r>
  </w:p>
  <w:p w:rsidR="00367003" w:rsidRDefault="00367003" w:rsidP="004A6D2F">
    <w:pPr>
      <w:pStyle w:val="Footer"/>
    </w:pPr>
  </w:p>
  <w:p w:rsidR="00367003" w:rsidRDefault="00367003"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03" w:rsidRDefault="00367003"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D83" w:rsidRDefault="00746D83" w:rsidP="004A6D2F">
      <w:r>
        <w:separator/>
      </w:r>
    </w:p>
  </w:footnote>
  <w:footnote w:type="continuationSeparator" w:id="0">
    <w:p w:rsidR="00746D83" w:rsidRDefault="00746D83"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03" w:rsidRDefault="00BA2D25" w:rsidP="00D5547E">
    <w:pPr>
      <w:pStyle w:val="Header"/>
      <w:jc w:val="right"/>
    </w:pPr>
    <w:r>
      <w:rPr>
        <w:noProof/>
      </w:rPr>
      <w:drawing>
        <wp:inline distT="0" distB="0" distL="0" distR="0" wp14:anchorId="03FF8BF4" wp14:editId="7A375F7C">
          <wp:extent cx="838200" cy="1114425"/>
          <wp:effectExtent l="0" t="0" r="0" b="952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lvlText w:val="%1."/>
      <w:lvlJc w:val="left"/>
      <w:pPr>
        <w:ind w:left="786"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CEA18DF"/>
    <w:multiLevelType w:val="singleLevel"/>
    <w:tmpl w:val="0809000F"/>
    <w:lvl w:ilvl="0">
      <w:start w:val="1"/>
      <w:numFmt w:val="decimal"/>
      <w:lvlText w:val="%1."/>
      <w:lvlJc w:val="left"/>
      <w:pPr>
        <w:ind w:left="720" w:hanging="360"/>
      </w:pPr>
      <w:rPr>
        <w:rFonts w:hint="default"/>
      </w:rPr>
    </w:lvl>
  </w:abstractNum>
  <w:abstractNum w:abstractNumId="16">
    <w:nsid w:val="112C6979"/>
    <w:multiLevelType w:val="hybridMultilevel"/>
    <w:tmpl w:val="181E9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D6F5F8D"/>
    <w:multiLevelType w:val="multilevel"/>
    <w:tmpl w:val="CF2A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2263A6A"/>
    <w:multiLevelType w:val="multilevel"/>
    <w:tmpl w:val="43D6D2FA"/>
    <w:numStyleLink w:val="StyleBulletedSymbolsymbolLeft063cmHanging063cm"/>
  </w:abstractNum>
  <w:abstractNum w:abstractNumId="21">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CA27DFE"/>
    <w:multiLevelType w:val="singleLevel"/>
    <w:tmpl w:val="08090001"/>
    <w:lvl w:ilvl="0">
      <w:start w:val="1"/>
      <w:numFmt w:val="bullet"/>
      <w:lvlText w:val=""/>
      <w:lvlJc w:val="left"/>
      <w:pPr>
        <w:ind w:left="720" w:hanging="360"/>
      </w:pPr>
      <w:rPr>
        <w:rFonts w:ascii="Symbol" w:hAnsi="Symbol" w:hint="default"/>
      </w:rPr>
    </w:lvl>
  </w:abstractNum>
  <w:abstractNum w:abstractNumId="23">
    <w:nsid w:val="3457293C"/>
    <w:multiLevelType w:val="hybridMultilevel"/>
    <w:tmpl w:val="39B2B0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56E5B33"/>
    <w:multiLevelType w:val="hybridMultilevel"/>
    <w:tmpl w:val="EAD8D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EF1491"/>
    <w:multiLevelType w:val="hybridMultilevel"/>
    <w:tmpl w:val="44EE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99A6170"/>
    <w:multiLevelType w:val="singleLevel"/>
    <w:tmpl w:val="42AE79BC"/>
    <w:lvl w:ilvl="0">
      <w:start w:val="1"/>
      <w:numFmt w:val="decimal"/>
      <w:pStyle w:val="ListParagraph"/>
      <w:lvlText w:val="%1."/>
      <w:lvlJc w:val="left"/>
      <w:pPr>
        <w:ind w:left="360" w:hanging="360"/>
      </w:pPr>
      <w:rPr>
        <w:rFonts w:hint="default"/>
        <w:b w:val="0"/>
        <w:color w:val="auto"/>
      </w:rPr>
    </w:lvl>
  </w:abstractNum>
  <w:abstractNum w:abstractNumId="32">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58476D7"/>
    <w:multiLevelType w:val="hybridMultilevel"/>
    <w:tmpl w:val="D2ACA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ABA5FD8"/>
    <w:multiLevelType w:val="multilevel"/>
    <w:tmpl w:val="43D6D2FA"/>
    <w:numStyleLink w:val="StyleBulletedSymbolsymbolLeft063cmHanging063cm"/>
  </w:abstractNum>
  <w:abstractNum w:abstractNumId="36">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2A22831"/>
    <w:multiLevelType w:val="multilevel"/>
    <w:tmpl w:val="43D6D2FA"/>
    <w:numStyleLink w:val="StyleBulletedSymbolsymbolLeft063cmHanging063cm"/>
  </w:abstractNum>
  <w:abstractNum w:abstractNumId="38">
    <w:nsid w:val="6669167B"/>
    <w:multiLevelType w:val="hybridMultilevel"/>
    <w:tmpl w:val="229ABB0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9">
    <w:nsid w:val="675868EA"/>
    <w:multiLevelType w:val="hybridMultilevel"/>
    <w:tmpl w:val="48508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0CB73A7"/>
    <w:multiLevelType w:val="singleLevel"/>
    <w:tmpl w:val="0809000F"/>
    <w:lvl w:ilvl="0">
      <w:start w:val="1"/>
      <w:numFmt w:val="decimal"/>
      <w:lvlText w:val="%1."/>
      <w:lvlJc w:val="left"/>
      <w:pPr>
        <w:ind w:left="720" w:hanging="360"/>
      </w:pPr>
      <w:rPr>
        <w:rFonts w:hint="default"/>
      </w:rPr>
    </w:lvl>
  </w:abstractNum>
  <w:abstractNum w:abstractNumId="44">
    <w:nsid w:val="798365C6"/>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7A852259"/>
    <w:multiLevelType w:val="hybridMultilevel"/>
    <w:tmpl w:val="E79E36BC"/>
    <w:lvl w:ilvl="0" w:tplc="0809000F">
      <w:start w:val="1"/>
      <w:numFmt w:val="decimal"/>
      <w:lvlText w:val="%1."/>
      <w:lvlJc w:val="left"/>
      <w:pPr>
        <w:ind w:left="360" w:hanging="360"/>
      </w:pPr>
      <w:rPr>
        <w:rFonts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7ACE7EDA"/>
    <w:multiLevelType w:val="singleLevel"/>
    <w:tmpl w:val="08090001"/>
    <w:lvl w:ilvl="0">
      <w:start w:val="1"/>
      <w:numFmt w:val="bullet"/>
      <w:lvlText w:val=""/>
      <w:lvlJc w:val="left"/>
      <w:pPr>
        <w:ind w:left="720" w:hanging="360"/>
      </w:pPr>
      <w:rPr>
        <w:rFonts w:ascii="Symbol" w:hAnsi="Symbol" w:hint="default"/>
      </w:rPr>
    </w:lvl>
  </w:abstractNum>
  <w:abstractNum w:abstractNumId="47">
    <w:nsid w:val="7C8D6EBB"/>
    <w:multiLevelType w:val="singleLevel"/>
    <w:tmpl w:val="08090001"/>
    <w:lvl w:ilvl="0">
      <w:start w:val="1"/>
      <w:numFmt w:val="bullet"/>
      <w:lvlText w:val=""/>
      <w:lvlJc w:val="left"/>
      <w:pPr>
        <w:ind w:left="1080" w:hanging="360"/>
      </w:pPr>
      <w:rPr>
        <w:rFonts w:ascii="Symbol" w:hAnsi="Symbol" w:hint="default"/>
      </w:rPr>
    </w:lvl>
  </w:abstractNum>
  <w:abstractNum w:abstractNumId="48">
    <w:nsid w:val="7F8B4466"/>
    <w:multiLevelType w:val="hybridMultilevel"/>
    <w:tmpl w:val="6CA220A6"/>
    <w:lvl w:ilvl="0" w:tplc="3C5037E4">
      <w:start w:val="1"/>
      <w:numFmt w:val="bullet"/>
      <w:lvlText w:val=""/>
      <w:lvlJc w:val="left"/>
      <w:pPr>
        <w:ind w:left="1146" w:hanging="360"/>
      </w:pPr>
      <w:rPr>
        <w:rFonts w:ascii="Symbol" w:hAnsi="Symbol" w:hint="default"/>
      </w:rPr>
    </w:lvl>
    <w:lvl w:ilvl="1" w:tplc="82FC9604" w:tentative="1">
      <w:start w:val="1"/>
      <w:numFmt w:val="bullet"/>
      <w:lvlText w:val="o"/>
      <w:lvlJc w:val="left"/>
      <w:pPr>
        <w:ind w:left="1866" w:hanging="360"/>
      </w:pPr>
      <w:rPr>
        <w:rFonts w:ascii="Courier New" w:hAnsi="Courier New" w:cs="Courier New" w:hint="default"/>
      </w:rPr>
    </w:lvl>
    <w:lvl w:ilvl="2" w:tplc="88F6C9AA" w:tentative="1">
      <w:start w:val="1"/>
      <w:numFmt w:val="bullet"/>
      <w:lvlText w:val=""/>
      <w:lvlJc w:val="left"/>
      <w:pPr>
        <w:ind w:left="2586" w:hanging="360"/>
      </w:pPr>
      <w:rPr>
        <w:rFonts w:ascii="Wingdings" w:hAnsi="Wingdings" w:hint="default"/>
      </w:rPr>
    </w:lvl>
    <w:lvl w:ilvl="3" w:tplc="3BE89678" w:tentative="1">
      <w:start w:val="1"/>
      <w:numFmt w:val="bullet"/>
      <w:lvlText w:val=""/>
      <w:lvlJc w:val="left"/>
      <w:pPr>
        <w:ind w:left="3306" w:hanging="360"/>
      </w:pPr>
      <w:rPr>
        <w:rFonts w:ascii="Symbol" w:hAnsi="Symbol" w:hint="default"/>
      </w:rPr>
    </w:lvl>
    <w:lvl w:ilvl="4" w:tplc="0958B4D2" w:tentative="1">
      <w:start w:val="1"/>
      <w:numFmt w:val="bullet"/>
      <w:lvlText w:val="o"/>
      <w:lvlJc w:val="left"/>
      <w:pPr>
        <w:ind w:left="4026" w:hanging="360"/>
      </w:pPr>
      <w:rPr>
        <w:rFonts w:ascii="Courier New" w:hAnsi="Courier New" w:cs="Courier New" w:hint="default"/>
      </w:rPr>
    </w:lvl>
    <w:lvl w:ilvl="5" w:tplc="8354B2A2" w:tentative="1">
      <w:start w:val="1"/>
      <w:numFmt w:val="bullet"/>
      <w:lvlText w:val=""/>
      <w:lvlJc w:val="left"/>
      <w:pPr>
        <w:ind w:left="4746" w:hanging="360"/>
      </w:pPr>
      <w:rPr>
        <w:rFonts w:ascii="Wingdings" w:hAnsi="Wingdings" w:hint="default"/>
      </w:rPr>
    </w:lvl>
    <w:lvl w:ilvl="6" w:tplc="97E0F750" w:tentative="1">
      <w:start w:val="1"/>
      <w:numFmt w:val="bullet"/>
      <w:lvlText w:val=""/>
      <w:lvlJc w:val="left"/>
      <w:pPr>
        <w:ind w:left="5466" w:hanging="360"/>
      </w:pPr>
      <w:rPr>
        <w:rFonts w:ascii="Symbol" w:hAnsi="Symbol" w:hint="default"/>
      </w:rPr>
    </w:lvl>
    <w:lvl w:ilvl="7" w:tplc="648A7ABA" w:tentative="1">
      <w:start w:val="1"/>
      <w:numFmt w:val="bullet"/>
      <w:lvlText w:val="o"/>
      <w:lvlJc w:val="left"/>
      <w:pPr>
        <w:ind w:left="6186" w:hanging="360"/>
      </w:pPr>
      <w:rPr>
        <w:rFonts w:ascii="Courier New" w:hAnsi="Courier New" w:cs="Courier New" w:hint="default"/>
      </w:rPr>
    </w:lvl>
    <w:lvl w:ilvl="8" w:tplc="B1709910" w:tentative="1">
      <w:start w:val="1"/>
      <w:numFmt w:val="bullet"/>
      <w:lvlText w:val=""/>
      <w:lvlJc w:val="left"/>
      <w:pPr>
        <w:ind w:left="6906" w:hanging="360"/>
      </w:pPr>
      <w:rPr>
        <w:rFonts w:ascii="Wingdings" w:hAnsi="Wingdings" w:hint="default"/>
      </w:rPr>
    </w:lvl>
  </w:abstractNum>
  <w:num w:numId="1">
    <w:abstractNumId w:val="34"/>
  </w:num>
  <w:num w:numId="2">
    <w:abstractNumId w:val="41"/>
  </w:num>
  <w:num w:numId="3">
    <w:abstractNumId w:val="29"/>
  </w:num>
  <w:num w:numId="4">
    <w:abstractNumId w:val="21"/>
  </w:num>
  <w:num w:numId="5">
    <w:abstractNumId w:val="36"/>
  </w:num>
  <w:num w:numId="6">
    <w:abstractNumId w:val="42"/>
  </w:num>
  <w:num w:numId="7">
    <w:abstractNumId w:val="26"/>
  </w:num>
  <w:num w:numId="8">
    <w:abstractNumId w:val="24"/>
  </w:num>
  <w:num w:numId="9">
    <w:abstractNumId w:val="13"/>
  </w:num>
  <w:num w:numId="10">
    <w:abstractNumId w:val="18"/>
  </w:num>
  <w:num w:numId="11">
    <w:abstractNumId w:val="32"/>
  </w:num>
  <w:num w:numId="12">
    <w:abstractNumId w:val="30"/>
  </w:num>
  <w:num w:numId="13">
    <w:abstractNumId w:val="10"/>
  </w:num>
  <w:num w:numId="14">
    <w:abstractNumId w:val="31"/>
  </w:num>
  <w:num w:numId="15">
    <w:abstractNumId w:val="19"/>
  </w:num>
  <w:num w:numId="16">
    <w:abstractNumId w:val="11"/>
  </w:num>
  <w:num w:numId="17">
    <w:abstractNumId w:val="35"/>
  </w:num>
  <w:num w:numId="18">
    <w:abstractNumId w:val="12"/>
  </w:num>
  <w:num w:numId="19">
    <w:abstractNumId w:val="37"/>
  </w:num>
  <w:num w:numId="20">
    <w:abstractNumId w:val="20"/>
  </w:num>
  <w:num w:numId="21">
    <w:abstractNumId w:val="25"/>
  </w:num>
  <w:num w:numId="22">
    <w:abstractNumId w:val="14"/>
  </w:num>
  <w:num w:numId="23">
    <w:abstractNumId w:val="4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48"/>
  </w:num>
  <w:num w:numId="35">
    <w:abstractNumId w:val="47"/>
  </w:num>
  <w:num w:numId="36">
    <w:abstractNumId w:val="46"/>
  </w:num>
  <w:num w:numId="37">
    <w:abstractNumId w:val="15"/>
  </w:num>
  <w:num w:numId="38">
    <w:abstractNumId w:val="44"/>
    <w:lvlOverride w:ilvl="0">
      <w:lvl w:ilvl="0">
        <w:start w:val="1"/>
        <w:numFmt w:val="decimal"/>
        <w:lvlText w:val="%1."/>
        <w:lvlJc w:val="left"/>
        <w:pPr>
          <w:ind w:left="360" w:hanging="360"/>
        </w:pPr>
        <w:rPr>
          <w:rFonts w:ascii="Arial" w:hAnsi="Arial"/>
          <w:color w:val="000000"/>
          <w:sz w:val="24"/>
        </w:rPr>
      </w:lvl>
    </w:lvlOverride>
  </w:num>
  <w:num w:numId="39">
    <w:abstractNumId w:val="33"/>
  </w:num>
  <w:num w:numId="40">
    <w:abstractNumId w:val="28"/>
  </w:num>
  <w:num w:numId="41">
    <w:abstractNumId w:val="39"/>
  </w:num>
  <w:num w:numId="42">
    <w:abstractNumId w:val="22"/>
  </w:num>
  <w:num w:numId="43">
    <w:abstractNumId w:val="38"/>
  </w:num>
  <w:num w:numId="44">
    <w:abstractNumId w:val="43"/>
  </w:num>
  <w:num w:numId="45">
    <w:abstractNumId w:val="27"/>
  </w:num>
  <w:num w:numId="46">
    <w:abstractNumId w:val="45"/>
  </w:num>
  <w:num w:numId="47">
    <w:abstractNumId w:val="23"/>
  </w:num>
  <w:num w:numId="48">
    <w:abstractNumId w:val="16"/>
  </w:num>
  <w:num w:numId="49">
    <w:abstractNumId w:val="17"/>
  </w:num>
  <w:num w:numId="50">
    <w:abstractNumId w:val="31"/>
  </w:num>
  <w:num w:numId="51">
    <w:abstractNumId w:val="31"/>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w15:presenceInfo w15:providerId="None" w15:userId="La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BE2"/>
    <w:rsid w:val="000070C0"/>
    <w:rsid w:val="000117D4"/>
    <w:rsid w:val="000314D7"/>
    <w:rsid w:val="00036DBC"/>
    <w:rsid w:val="00042271"/>
    <w:rsid w:val="00045F8B"/>
    <w:rsid w:val="00046D2B"/>
    <w:rsid w:val="00056263"/>
    <w:rsid w:val="00064350"/>
    <w:rsid w:val="00064D8A"/>
    <w:rsid w:val="00064F82"/>
    <w:rsid w:val="00066510"/>
    <w:rsid w:val="000712F4"/>
    <w:rsid w:val="00077523"/>
    <w:rsid w:val="00080396"/>
    <w:rsid w:val="000A3779"/>
    <w:rsid w:val="000A39F8"/>
    <w:rsid w:val="000C089F"/>
    <w:rsid w:val="000C3928"/>
    <w:rsid w:val="000C5E8E"/>
    <w:rsid w:val="000D74AD"/>
    <w:rsid w:val="000E12B0"/>
    <w:rsid w:val="000E145E"/>
    <w:rsid w:val="000E79BB"/>
    <w:rsid w:val="000F4751"/>
    <w:rsid w:val="0010524C"/>
    <w:rsid w:val="0011164C"/>
    <w:rsid w:val="00111FB1"/>
    <w:rsid w:val="00113418"/>
    <w:rsid w:val="001356F1"/>
    <w:rsid w:val="00136994"/>
    <w:rsid w:val="001404F3"/>
    <w:rsid w:val="0014128E"/>
    <w:rsid w:val="00151888"/>
    <w:rsid w:val="00160D2E"/>
    <w:rsid w:val="00162FEF"/>
    <w:rsid w:val="00170A2D"/>
    <w:rsid w:val="00173EC1"/>
    <w:rsid w:val="001808BC"/>
    <w:rsid w:val="00182B81"/>
    <w:rsid w:val="0018619D"/>
    <w:rsid w:val="001A011E"/>
    <w:rsid w:val="001A066A"/>
    <w:rsid w:val="001A13E6"/>
    <w:rsid w:val="001A5731"/>
    <w:rsid w:val="001B42C3"/>
    <w:rsid w:val="001C2CC9"/>
    <w:rsid w:val="001C5D5E"/>
    <w:rsid w:val="001D678D"/>
    <w:rsid w:val="001E03F8"/>
    <w:rsid w:val="001E1678"/>
    <w:rsid w:val="001E3376"/>
    <w:rsid w:val="00204BCB"/>
    <w:rsid w:val="002069B3"/>
    <w:rsid w:val="00207ECA"/>
    <w:rsid w:val="00220EA2"/>
    <w:rsid w:val="002329CF"/>
    <w:rsid w:val="00232F5B"/>
    <w:rsid w:val="00247C29"/>
    <w:rsid w:val="00260467"/>
    <w:rsid w:val="00263EA3"/>
    <w:rsid w:val="00284F85"/>
    <w:rsid w:val="00290915"/>
    <w:rsid w:val="002929DE"/>
    <w:rsid w:val="002A22E2"/>
    <w:rsid w:val="002B3FEA"/>
    <w:rsid w:val="002C5B6C"/>
    <w:rsid w:val="002C64F7"/>
    <w:rsid w:val="002E16EC"/>
    <w:rsid w:val="002F41F2"/>
    <w:rsid w:val="00301BF3"/>
    <w:rsid w:val="0030208D"/>
    <w:rsid w:val="00307D93"/>
    <w:rsid w:val="00323418"/>
    <w:rsid w:val="00326FAE"/>
    <w:rsid w:val="003305A2"/>
    <w:rsid w:val="003357BF"/>
    <w:rsid w:val="00355835"/>
    <w:rsid w:val="00364FAD"/>
    <w:rsid w:val="0036687C"/>
    <w:rsid w:val="00366EFD"/>
    <w:rsid w:val="00367003"/>
    <w:rsid w:val="0036738F"/>
    <w:rsid w:val="0036759C"/>
    <w:rsid w:val="00367AE5"/>
    <w:rsid w:val="00367D71"/>
    <w:rsid w:val="00376D15"/>
    <w:rsid w:val="0038150A"/>
    <w:rsid w:val="00394FB2"/>
    <w:rsid w:val="00396068"/>
    <w:rsid w:val="003A0724"/>
    <w:rsid w:val="003B2FD8"/>
    <w:rsid w:val="003B6E75"/>
    <w:rsid w:val="003B7DA1"/>
    <w:rsid w:val="003C67FB"/>
    <w:rsid w:val="003C70A5"/>
    <w:rsid w:val="003D0379"/>
    <w:rsid w:val="003D2574"/>
    <w:rsid w:val="003D4C59"/>
    <w:rsid w:val="003E1132"/>
    <w:rsid w:val="003F3371"/>
    <w:rsid w:val="003F4267"/>
    <w:rsid w:val="00404032"/>
    <w:rsid w:val="0040736F"/>
    <w:rsid w:val="00412C1F"/>
    <w:rsid w:val="00421CB2"/>
    <w:rsid w:val="004268B9"/>
    <w:rsid w:val="0043010A"/>
    <w:rsid w:val="00433B96"/>
    <w:rsid w:val="004344CE"/>
    <w:rsid w:val="004440F1"/>
    <w:rsid w:val="004456DD"/>
    <w:rsid w:val="00446CDF"/>
    <w:rsid w:val="00451B02"/>
    <w:rsid w:val="004521B7"/>
    <w:rsid w:val="00462AB5"/>
    <w:rsid w:val="00465EAF"/>
    <w:rsid w:val="004731DC"/>
    <w:rsid w:val="004738C5"/>
    <w:rsid w:val="00491046"/>
    <w:rsid w:val="004952D6"/>
    <w:rsid w:val="004A23F1"/>
    <w:rsid w:val="004A2AC7"/>
    <w:rsid w:val="004A3174"/>
    <w:rsid w:val="004A6D2F"/>
    <w:rsid w:val="004B5BEE"/>
    <w:rsid w:val="004C08C9"/>
    <w:rsid w:val="004C2887"/>
    <w:rsid w:val="004D0B34"/>
    <w:rsid w:val="004D0C20"/>
    <w:rsid w:val="004D2626"/>
    <w:rsid w:val="004D6E26"/>
    <w:rsid w:val="004D77D3"/>
    <w:rsid w:val="004E10D5"/>
    <w:rsid w:val="004E2959"/>
    <w:rsid w:val="004E4D6B"/>
    <w:rsid w:val="004F141F"/>
    <w:rsid w:val="004F20EF"/>
    <w:rsid w:val="004F576D"/>
    <w:rsid w:val="0050321C"/>
    <w:rsid w:val="0051392B"/>
    <w:rsid w:val="005147D0"/>
    <w:rsid w:val="00527522"/>
    <w:rsid w:val="00536E12"/>
    <w:rsid w:val="00545019"/>
    <w:rsid w:val="0054712D"/>
    <w:rsid w:val="00547EF6"/>
    <w:rsid w:val="005570B5"/>
    <w:rsid w:val="00560EF3"/>
    <w:rsid w:val="00567E18"/>
    <w:rsid w:val="00575F5F"/>
    <w:rsid w:val="00581805"/>
    <w:rsid w:val="00585F76"/>
    <w:rsid w:val="00591DF0"/>
    <w:rsid w:val="00595804"/>
    <w:rsid w:val="005A34E4"/>
    <w:rsid w:val="005A5399"/>
    <w:rsid w:val="005B17F2"/>
    <w:rsid w:val="005B3EB9"/>
    <w:rsid w:val="005B7FB0"/>
    <w:rsid w:val="005C0C16"/>
    <w:rsid w:val="005C35A5"/>
    <w:rsid w:val="005C577C"/>
    <w:rsid w:val="005D0621"/>
    <w:rsid w:val="005D1E27"/>
    <w:rsid w:val="005D2A3E"/>
    <w:rsid w:val="005D2E88"/>
    <w:rsid w:val="005D468B"/>
    <w:rsid w:val="005D6AC6"/>
    <w:rsid w:val="005E022E"/>
    <w:rsid w:val="005E0A6E"/>
    <w:rsid w:val="005E2585"/>
    <w:rsid w:val="005E5215"/>
    <w:rsid w:val="005E6963"/>
    <w:rsid w:val="005F769A"/>
    <w:rsid w:val="005F7F7E"/>
    <w:rsid w:val="00611C3B"/>
    <w:rsid w:val="00612F71"/>
    <w:rsid w:val="00614693"/>
    <w:rsid w:val="00622FCE"/>
    <w:rsid w:val="00623C2F"/>
    <w:rsid w:val="00625BE2"/>
    <w:rsid w:val="00633578"/>
    <w:rsid w:val="00635264"/>
    <w:rsid w:val="00637068"/>
    <w:rsid w:val="00650811"/>
    <w:rsid w:val="00650F89"/>
    <w:rsid w:val="00661D3E"/>
    <w:rsid w:val="006674E0"/>
    <w:rsid w:val="006779E9"/>
    <w:rsid w:val="00684C3A"/>
    <w:rsid w:val="00692627"/>
    <w:rsid w:val="00693751"/>
    <w:rsid w:val="006969E7"/>
    <w:rsid w:val="006A3643"/>
    <w:rsid w:val="006B527B"/>
    <w:rsid w:val="006C2A29"/>
    <w:rsid w:val="006C64CF"/>
    <w:rsid w:val="006D17B1"/>
    <w:rsid w:val="006D1F68"/>
    <w:rsid w:val="006D4752"/>
    <w:rsid w:val="006D708A"/>
    <w:rsid w:val="006E14C1"/>
    <w:rsid w:val="006F0292"/>
    <w:rsid w:val="006F27FA"/>
    <w:rsid w:val="006F416B"/>
    <w:rsid w:val="006F4CF8"/>
    <w:rsid w:val="006F519B"/>
    <w:rsid w:val="00704CEF"/>
    <w:rsid w:val="00710C88"/>
    <w:rsid w:val="00713675"/>
    <w:rsid w:val="00715823"/>
    <w:rsid w:val="00717264"/>
    <w:rsid w:val="00723EC2"/>
    <w:rsid w:val="00725645"/>
    <w:rsid w:val="00730B9C"/>
    <w:rsid w:val="00737B93"/>
    <w:rsid w:val="00745BF0"/>
    <w:rsid w:val="00746D83"/>
    <w:rsid w:val="007471E5"/>
    <w:rsid w:val="007615FE"/>
    <w:rsid w:val="0076655C"/>
    <w:rsid w:val="00772269"/>
    <w:rsid w:val="007742DC"/>
    <w:rsid w:val="00782310"/>
    <w:rsid w:val="00790CC2"/>
    <w:rsid w:val="00791437"/>
    <w:rsid w:val="00792E61"/>
    <w:rsid w:val="007A7645"/>
    <w:rsid w:val="007B0C2C"/>
    <w:rsid w:val="007B278E"/>
    <w:rsid w:val="007B4DDB"/>
    <w:rsid w:val="007C5C23"/>
    <w:rsid w:val="007E2A26"/>
    <w:rsid w:val="007F1AD5"/>
    <w:rsid w:val="007F2348"/>
    <w:rsid w:val="00803F07"/>
    <w:rsid w:val="0080749A"/>
    <w:rsid w:val="0082043F"/>
    <w:rsid w:val="00821FB8"/>
    <w:rsid w:val="00822ACD"/>
    <w:rsid w:val="00845DD6"/>
    <w:rsid w:val="00846F8E"/>
    <w:rsid w:val="00855C66"/>
    <w:rsid w:val="008576AA"/>
    <w:rsid w:val="00871EE4"/>
    <w:rsid w:val="008755E8"/>
    <w:rsid w:val="00890B6C"/>
    <w:rsid w:val="0089363E"/>
    <w:rsid w:val="00895CFD"/>
    <w:rsid w:val="008B26FC"/>
    <w:rsid w:val="008B293F"/>
    <w:rsid w:val="008B7371"/>
    <w:rsid w:val="008C06EC"/>
    <w:rsid w:val="008D2A29"/>
    <w:rsid w:val="008D3DDB"/>
    <w:rsid w:val="008E5075"/>
    <w:rsid w:val="008F101A"/>
    <w:rsid w:val="008F573F"/>
    <w:rsid w:val="009018C3"/>
    <w:rsid w:val="009034EC"/>
    <w:rsid w:val="00911AF3"/>
    <w:rsid w:val="00913372"/>
    <w:rsid w:val="00922837"/>
    <w:rsid w:val="00930329"/>
    <w:rsid w:val="0093067A"/>
    <w:rsid w:val="00931365"/>
    <w:rsid w:val="00941C60"/>
    <w:rsid w:val="0096134C"/>
    <w:rsid w:val="00966D42"/>
    <w:rsid w:val="00971689"/>
    <w:rsid w:val="00973E90"/>
    <w:rsid w:val="00975B07"/>
    <w:rsid w:val="00980B4A"/>
    <w:rsid w:val="009833DD"/>
    <w:rsid w:val="009A4B09"/>
    <w:rsid w:val="009B11F0"/>
    <w:rsid w:val="009B5BDF"/>
    <w:rsid w:val="009D0799"/>
    <w:rsid w:val="009D5C8B"/>
    <w:rsid w:val="009E3D0A"/>
    <w:rsid w:val="009E51FC"/>
    <w:rsid w:val="009F1D28"/>
    <w:rsid w:val="009F7618"/>
    <w:rsid w:val="00A00414"/>
    <w:rsid w:val="00A04D23"/>
    <w:rsid w:val="00A06766"/>
    <w:rsid w:val="00A1140E"/>
    <w:rsid w:val="00A13765"/>
    <w:rsid w:val="00A21B12"/>
    <w:rsid w:val="00A23F80"/>
    <w:rsid w:val="00A42471"/>
    <w:rsid w:val="00A46E98"/>
    <w:rsid w:val="00A60A7F"/>
    <w:rsid w:val="00A61087"/>
    <w:rsid w:val="00A62D73"/>
    <w:rsid w:val="00A6352B"/>
    <w:rsid w:val="00A701B5"/>
    <w:rsid w:val="00A714BB"/>
    <w:rsid w:val="00A76DB1"/>
    <w:rsid w:val="00A929EF"/>
    <w:rsid w:val="00A92D8F"/>
    <w:rsid w:val="00A94AF9"/>
    <w:rsid w:val="00AA2617"/>
    <w:rsid w:val="00AB2988"/>
    <w:rsid w:val="00AB7999"/>
    <w:rsid w:val="00AC3909"/>
    <w:rsid w:val="00AC5CCA"/>
    <w:rsid w:val="00AD3292"/>
    <w:rsid w:val="00AE7AF0"/>
    <w:rsid w:val="00AF4CA8"/>
    <w:rsid w:val="00B0317E"/>
    <w:rsid w:val="00B06D2D"/>
    <w:rsid w:val="00B200CF"/>
    <w:rsid w:val="00B32C8D"/>
    <w:rsid w:val="00B500CA"/>
    <w:rsid w:val="00B600BB"/>
    <w:rsid w:val="00B62BB2"/>
    <w:rsid w:val="00B728FC"/>
    <w:rsid w:val="00B82ED8"/>
    <w:rsid w:val="00B83363"/>
    <w:rsid w:val="00B86314"/>
    <w:rsid w:val="00BA1C2E"/>
    <w:rsid w:val="00BA2D25"/>
    <w:rsid w:val="00BB6AFC"/>
    <w:rsid w:val="00BC053A"/>
    <w:rsid w:val="00BC200B"/>
    <w:rsid w:val="00BC4756"/>
    <w:rsid w:val="00BC69A4"/>
    <w:rsid w:val="00BC76D7"/>
    <w:rsid w:val="00BD2517"/>
    <w:rsid w:val="00BE0680"/>
    <w:rsid w:val="00BE305F"/>
    <w:rsid w:val="00BE4F79"/>
    <w:rsid w:val="00BE7BA3"/>
    <w:rsid w:val="00BF0DC2"/>
    <w:rsid w:val="00BF5682"/>
    <w:rsid w:val="00BF7B09"/>
    <w:rsid w:val="00C20A95"/>
    <w:rsid w:val="00C2692F"/>
    <w:rsid w:val="00C3207C"/>
    <w:rsid w:val="00C353AD"/>
    <w:rsid w:val="00C36066"/>
    <w:rsid w:val="00C400E1"/>
    <w:rsid w:val="00C41187"/>
    <w:rsid w:val="00C42DB9"/>
    <w:rsid w:val="00C52FD4"/>
    <w:rsid w:val="00C6184F"/>
    <w:rsid w:val="00C63C31"/>
    <w:rsid w:val="00C66E32"/>
    <w:rsid w:val="00C757A0"/>
    <w:rsid w:val="00C760DE"/>
    <w:rsid w:val="00C82630"/>
    <w:rsid w:val="00C83E6D"/>
    <w:rsid w:val="00C84CEA"/>
    <w:rsid w:val="00C85B4E"/>
    <w:rsid w:val="00C85B55"/>
    <w:rsid w:val="00C907F7"/>
    <w:rsid w:val="00CA2103"/>
    <w:rsid w:val="00CB6B99"/>
    <w:rsid w:val="00CC08E9"/>
    <w:rsid w:val="00CE4C87"/>
    <w:rsid w:val="00CE544A"/>
    <w:rsid w:val="00CF2B86"/>
    <w:rsid w:val="00D11E1C"/>
    <w:rsid w:val="00D137E7"/>
    <w:rsid w:val="00D160B0"/>
    <w:rsid w:val="00D17F94"/>
    <w:rsid w:val="00D223FC"/>
    <w:rsid w:val="00D265F1"/>
    <w:rsid w:val="00D26D1E"/>
    <w:rsid w:val="00D410CC"/>
    <w:rsid w:val="00D474CF"/>
    <w:rsid w:val="00D550D9"/>
    <w:rsid w:val="00D5547E"/>
    <w:rsid w:val="00D85C2E"/>
    <w:rsid w:val="00D869A1"/>
    <w:rsid w:val="00D877B0"/>
    <w:rsid w:val="00D87E12"/>
    <w:rsid w:val="00DA413F"/>
    <w:rsid w:val="00DA4584"/>
    <w:rsid w:val="00DA614B"/>
    <w:rsid w:val="00DB2A28"/>
    <w:rsid w:val="00DB71AE"/>
    <w:rsid w:val="00DC3060"/>
    <w:rsid w:val="00DE0FB2"/>
    <w:rsid w:val="00DF093E"/>
    <w:rsid w:val="00E01F42"/>
    <w:rsid w:val="00E11CDB"/>
    <w:rsid w:val="00E206D6"/>
    <w:rsid w:val="00E3366E"/>
    <w:rsid w:val="00E40B92"/>
    <w:rsid w:val="00E52086"/>
    <w:rsid w:val="00E543A6"/>
    <w:rsid w:val="00E55C1C"/>
    <w:rsid w:val="00E60479"/>
    <w:rsid w:val="00E61D73"/>
    <w:rsid w:val="00E72A47"/>
    <w:rsid w:val="00E73563"/>
    <w:rsid w:val="00E73684"/>
    <w:rsid w:val="00E75964"/>
    <w:rsid w:val="00E818D6"/>
    <w:rsid w:val="00E87F7A"/>
    <w:rsid w:val="00E9673F"/>
    <w:rsid w:val="00E96BD7"/>
    <w:rsid w:val="00E97F4D"/>
    <w:rsid w:val="00EA0A09"/>
    <w:rsid w:val="00EA0DB1"/>
    <w:rsid w:val="00EA0EE9"/>
    <w:rsid w:val="00EA346A"/>
    <w:rsid w:val="00EB514F"/>
    <w:rsid w:val="00EC0B2C"/>
    <w:rsid w:val="00EC46D0"/>
    <w:rsid w:val="00ED3742"/>
    <w:rsid w:val="00ED52CA"/>
    <w:rsid w:val="00ED5860"/>
    <w:rsid w:val="00ED6A1F"/>
    <w:rsid w:val="00EE2E32"/>
    <w:rsid w:val="00EE35C9"/>
    <w:rsid w:val="00EE384E"/>
    <w:rsid w:val="00F0452D"/>
    <w:rsid w:val="00F04837"/>
    <w:rsid w:val="00F05ECA"/>
    <w:rsid w:val="00F11B5D"/>
    <w:rsid w:val="00F21F53"/>
    <w:rsid w:val="00F3566E"/>
    <w:rsid w:val="00F375FB"/>
    <w:rsid w:val="00F41AC1"/>
    <w:rsid w:val="00F4367A"/>
    <w:rsid w:val="00F445B1"/>
    <w:rsid w:val="00F45CD4"/>
    <w:rsid w:val="00F51479"/>
    <w:rsid w:val="00F516C0"/>
    <w:rsid w:val="00F66046"/>
    <w:rsid w:val="00F66DCA"/>
    <w:rsid w:val="00F74F53"/>
    <w:rsid w:val="00F7606D"/>
    <w:rsid w:val="00F77245"/>
    <w:rsid w:val="00F80018"/>
    <w:rsid w:val="00F81670"/>
    <w:rsid w:val="00F82024"/>
    <w:rsid w:val="00F91D14"/>
    <w:rsid w:val="00F95BC9"/>
    <w:rsid w:val="00FA0C3F"/>
    <w:rsid w:val="00FA624C"/>
    <w:rsid w:val="00FA7A29"/>
    <w:rsid w:val="00FB6E31"/>
    <w:rsid w:val="00FD0E7E"/>
    <w:rsid w:val="00FD0FAC"/>
    <w:rsid w:val="00FD1DFA"/>
    <w:rsid w:val="00FD4966"/>
    <w:rsid w:val="00FD7FDA"/>
    <w:rsid w:val="00FE2B31"/>
    <w:rsid w:val="00FE57DC"/>
    <w:rsid w:val="00FE7416"/>
    <w:rsid w:val="00FF227D"/>
    <w:rsid w:val="00FF471C"/>
    <w:rsid w:val="00FF5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F51479"/>
    <w:pPr>
      <w:autoSpaceDE w:val="0"/>
      <w:autoSpaceDN w:val="0"/>
      <w:adjustRightInd w:val="0"/>
    </w:pPr>
    <w:rPr>
      <w:rFonts w:cs="Arial"/>
      <w:color w:val="000000"/>
      <w:sz w:val="24"/>
      <w:szCs w:val="24"/>
    </w:rPr>
  </w:style>
  <w:style w:type="character" w:styleId="Strong">
    <w:name w:val="Strong"/>
    <w:qFormat/>
    <w:rsid w:val="00A1140E"/>
    <w:rPr>
      <w:b/>
      <w:bCs/>
    </w:rPr>
  </w:style>
  <w:style w:type="paragraph" w:customStyle="1" w:styleId="CharCharCharChar">
    <w:name w:val="Char Char Char Char"/>
    <w:basedOn w:val="Normal"/>
    <w:rsid w:val="00A1140E"/>
    <w:pPr>
      <w:spacing w:after="160" w:line="240" w:lineRule="exact"/>
    </w:pPr>
    <w:rPr>
      <w:rFonts w:ascii="Verdana" w:hAnsi="Verdana"/>
      <w:color w:val="auto"/>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F51479"/>
    <w:pPr>
      <w:autoSpaceDE w:val="0"/>
      <w:autoSpaceDN w:val="0"/>
      <w:adjustRightInd w:val="0"/>
    </w:pPr>
    <w:rPr>
      <w:rFonts w:cs="Arial"/>
      <w:color w:val="000000"/>
      <w:sz w:val="24"/>
      <w:szCs w:val="24"/>
    </w:rPr>
  </w:style>
  <w:style w:type="character" w:styleId="Strong">
    <w:name w:val="Strong"/>
    <w:qFormat/>
    <w:rsid w:val="00A1140E"/>
    <w:rPr>
      <w:b/>
      <w:bCs/>
    </w:rPr>
  </w:style>
  <w:style w:type="paragraph" w:customStyle="1" w:styleId="CharCharCharChar">
    <w:name w:val="Char Char Char Char"/>
    <w:basedOn w:val="Normal"/>
    <w:rsid w:val="00A1140E"/>
    <w:pPr>
      <w:spacing w:after="160" w:line="240" w:lineRule="exact"/>
    </w:pPr>
    <w:rPr>
      <w:rFonts w:ascii="Verdana" w:hAnsi="Verdana"/>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04525993">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84339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guidance/community-infrastructure-levy" TargetMode="External"/><Relationship Id="rId4" Type="http://schemas.microsoft.com/office/2007/relationships/stylesWithEffects" Target="stylesWithEffects.xml"/><Relationship Id="rId9" Type="http://schemas.openxmlformats.org/officeDocument/2006/relationships/hyperlink" Target="http://www.legislation.gov.uk/uksi/2010/948/regulation/55/ma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wnloads\CEB%20report%20-%20review%20of%20cil%20charging%20schedule%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3983F-9D61-4047-9049-4FA1F573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review of cil charging schedule v2</Template>
  <TotalTime>0</TotalTime>
  <Pages>6</Pages>
  <Words>1868</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11938</CharactersWithSpaces>
  <SharedDoc>false</SharedDoc>
  <HLinks>
    <vt:vector size="6" baseType="variant">
      <vt:variant>
        <vt:i4>2752576</vt:i4>
      </vt:variant>
      <vt:variant>
        <vt:i4>0</vt:i4>
      </vt:variant>
      <vt:variant>
        <vt:i4>0</vt:i4>
      </vt:variant>
      <vt:variant>
        <vt:i4>5</vt:i4>
      </vt:variant>
      <vt:variant>
        <vt:lpwstr>https://www.oxford.gov.uk/downloads/file/1405/cil_regulation_123_list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JMitchell</cp:lastModifiedBy>
  <cp:revision>2</cp:revision>
  <cp:lastPrinted>2019-04-23T14:25:00Z</cp:lastPrinted>
  <dcterms:created xsi:type="dcterms:W3CDTF">2019-05-07T13:38:00Z</dcterms:created>
  <dcterms:modified xsi:type="dcterms:W3CDTF">2019-05-07T13:38:00Z</dcterms:modified>
</cp:coreProperties>
</file>